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97CAA" w14:textId="2D5DB8D0" w:rsidR="0012388D" w:rsidRDefault="00772BDC" w:rsidP="00CA5734">
      <w:pPr>
        <w:rPr>
          <w:rFonts w:cs="Arial"/>
        </w:rPr>
      </w:pPr>
      <w:r>
        <w:rPr>
          <w:rFonts w:cs="Arial"/>
          <w:noProof/>
          <w:lang w:eastAsia="en-GB" w:bidi="ar-SA"/>
        </w:rPr>
        <w:drawing>
          <wp:inline distT="0" distB="0" distL="0" distR="0" wp14:anchorId="0A554158" wp14:editId="7F87E0F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DCC1735" w14:textId="77777777" w:rsidR="00CF2447" w:rsidRPr="00E239E1" w:rsidRDefault="00CF2447" w:rsidP="00CF2447"/>
    <w:p w14:paraId="29A334DB" w14:textId="77777777" w:rsidR="00CF2447" w:rsidRDefault="00CF2447" w:rsidP="00CF2447">
      <w:pPr>
        <w:tabs>
          <w:tab w:val="left" w:pos="851"/>
        </w:tabs>
        <w:rPr>
          <w:b/>
          <w:sz w:val="28"/>
          <w:szCs w:val="28"/>
        </w:rPr>
      </w:pPr>
      <w:r>
        <w:rPr>
          <w:b/>
          <w:sz w:val="28"/>
          <w:szCs w:val="28"/>
        </w:rPr>
        <w:t>23 March 2017</w:t>
      </w:r>
    </w:p>
    <w:p w14:paraId="752F7EE9" w14:textId="77777777" w:rsidR="00CF2447" w:rsidRDefault="00CF2447" w:rsidP="00CF2447">
      <w:pPr>
        <w:rPr>
          <w:b/>
          <w:sz w:val="28"/>
          <w:szCs w:val="28"/>
        </w:rPr>
      </w:pPr>
      <w:r>
        <w:rPr>
          <w:b/>
          <w:sz w:val="28"/>
          <w:szCs w:val="28"/>
        </w:rPr>
        <w:t>[08–17]</w:t>
      </w:r>
    </w:p>
    <w:p w14:paraId="3A24AA2E" w14:textId="77777777" w:rsidR="00CF2447" w:rsidRPr="00A671E6" w:rsidRDefault="00CF2447" w:rsidP="00CF2447"/>
    <w:p w14:paraId="0FB2E61E" w14:textId="211A7FC4"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002760DE">
        <w:t xml:space="preserve"> </w:t>
      </w:r>
      <w:r w:rsidR="002760DE" w:rsidRPr="002760DE">
        <w:t>– Application A1133</w:t>
      </w:r>
    </w:p>
    <w:p w14:paraId="5D32B715" w14:textId="77777777" w:rsidR="003A7B84" w:rsidRPr="00CA5734" w:rsidRDefault="003A7B84" w:rsidP="00A671E6"/>
    <w:p w14:paraId="44D6E082" w14:textId="77777777" w:rsidR="002760DE" w:rsidRPr="00F7186D" w:rsidRDefault="002760DE" w:rsidP="002760DE">
      <w:pPr>
        <w:pStyle w:val="Title"/>
        <w:jc w:val="left"/>
        <w:rPr>
          <w:rFonts w:cs="Arial"/>
          <w:b w:val="0"/>
          <w:i w:val="0"/>
          <w:iCs w:val="0"/>
          <w:sz w:val="32"/>
          <w:szCs w:val="32"/>
        </w:rPr>
      </w:pPr>
      <w:r w:rsidRPr="00F7186D">
        <w:rPr>
          <w:b w:val="0"/>
          <w:i w:val="0"/>
          <w:sz w:val="32"/>
          <w:szCs w:val="32"/>
        </w:rPr>
        <w:t>Maximum Residue Limits for Avilamycin</w:t>
      </w:r>
      <w:r>
        <w:rPr>
          <w:b w:val="0"/>
          <w:i w:val="0"/>
          <w:sz w:val="32"/>
          <w:szCs w:val="32"/>
        </w:rPr>
        <w:t xml:space="preserve"> in specific Pig Commodities</w:t>
      </w:r>
    </w:p>
    <w:p w14:paraId="78392DCE" w14:textId="77777777" w:rsidR="003A7B84" w:rsidRPr="00E327A6" w:rsidRDefault="003A7B84" w:rsidP="00871116">
      <w:pPr>
        <w:pBdr>
          <w:bottom w:val="single" w:sz="12" w:space="1" w:color="auto"/>
        </w:pBdr>
        <w:tabs>
          <w:tab w:val="left" w:pos="1140"/>
        </w:tabs>
        <w:rPr>
          <w:rFonts w:cs="Arial"/>
          <w:bCs/>
        </w:rPr>
      </w:pPr>
    </w:p>
    <w:p w14:paraId="449F2468" w14:textId="77777777" w:rsidR="003A7B84" w:rsidRPr="002760DE" w:rsidRDefault="003A7B84" w:rsidP="003A7B84"/>
    <w:p w14:paraId="28448B44" w14:textId="73B581C4" w:rsidR="00EB6590" w:rsidRPr="002760DE" w:rsidRDefault="000F3CFE" w:rsidP="00CA5734">
      <w:r w:rsidRPr="002760DE">
        <w:t>Food Standards Australia New Zealand (FSANZ) has</w:t>
      </w:r>
      <w:r w:rsidR="00081B0A" w:rsidRPr="002760DE">
        <w:t xml:space="preserve"> assessed an application </w:t>
      </w:r>
      <w:r w:rsidR="002760DE" w:rsidRPr="002760DE">
        <w:t>made by Elanco Animal Health</w:t>
      </w:r>
      <w:r w:rsidR="00081B0A" w:rsidRPr="002760DE">
        <w:t xml:space="preserve"> </w:t>
      </w:r>
      <w:r w:rsidR="00CA5734" w:rsidRPr="002760DE">
        <w:t>to</w:t>
      </w:r>
      <w:r w:rsidR="002760DE" w:rsidRPr="002760DE">
        <w:t xml:space="preserve"> </w:t>
      </w:r>
      <w:r w:rsidR="001D54BC">
        <w:t>harmonise</w:t>
      </w:r>
      <w:r w:rsidR="001D54BC" w:rsidRPr="002760DE">
        <w:t xml:space="preserve"> </w:t>
      </w:r>
      <w:r w:rsidR="002760DE" w:rsidRPr="002760DE">
        <w:t xml:space="preserve">MRLs for avilamycin in specific pig commodities in the </w:t>
      </w:r>
      <w:r w:rsidR="002760DE" w:rsidRPr="002760DE">
        <w:rPr>
          <w:i/>
        </w:rPr>
        <w:t>Australia New Zealand Food Standards Code</w:t>
      </w:r>
      <w:r w:rsidR="00FF3F7C">
        <w:rPr>
          <w:i/>
        </w:rPr>
        <w:t xml:space="preserve"> </w:t>
      </w:r>
      <w:r w:rsidR="00FF3F7C" w:rsidRPr="00FF3F7C">
        <w:t>with</w:t>
      </w:r>
      <w:r w:rsidR="00FF3F7C">
        <w:rPr>
          <w:i/>
        </w:rPr>
        <w:t xml:space="preserve"> </w:t>
      </w:r>
      <w:r w:rsidR="001977BA">
        <w:t xml:space="preserve">the </w:t>
      </w:r>
      <w:r w:rsidR="00FF3F7C" w:rsidRPr="00FF3F7C">
        <w:t>Codex Alimentarius</w:t>
      </w:r>
      <w:r w:rsidR="002760DE" w:rsidRPr="002760DE">
        <w:t>.</w:t>
      </w:r>
    </w:p>
    <w:p w14:paraId="689F6F3D" w14:textId="77777777" w:rsidR="00CA5734" w:rsidRDefault="00CA5734" w:rsidP="00CA5734"/>
    <w:p w14:paraId="477B7890" w14:textId="170A506B" w:rsidR="00081B0A" w:rsidRDefault="00081B0A" w:rsidP="00CA5734">
      <w:r w:rsidRPr="002760DE">
        <w:t xml:space="preserve">On </w:t>
      </w:r>
      <w:r w:rsidR="002760DE" w:rsidRPr="002760DE">
        <w:t>7 November 2016</w:t>
      </w:r>
      <w:r w:rsidR="003A7B84" w:rsidRPr="002760DE">
        <w:t>,</w:t>
      </w:r>
      <w:r w:rsidRPr="002760DE">
        <w:t xml:space="preserve"> FSANZ sought </w:t>
      </w:r>
      <w:r w:rsidR="003A7B84" w:rsidRPr="002760DE">
        <w:t xml:space="preserve">submissions </w:t>
      </w:r>
      <w:r w:rsidR="00A671E6" w:rsidRPr="002760DE">
        <w:t xml:space="preserve">on </w:t>
      </w:r>
      <w:r w:rsidR="00F526BD" w:rsidRPr="002760DE">
        <w:t xml:space="preserve">a draft </w:t>
      </w:r>
      <w:r w:rsidR="00E30092" w:rsidRPr="002760DE">
        <w:t xml:space="preserve">variation </w:t>
      </w:r>
      <w:r w:rsidR="003A7B84" w:rsidRPr="002760DE">
        <w:t xml:space="preserve">and published an </w:t>
      </w:r>
      <w:r w:rsidR="00EC21DF" w:rsidRPr="002760DE">
        <w:t>associated r</w:t>
      </w:r>
      <w:r w:rsidR="003A7B84" w:rsidRPr="002760DE">
        <w:t>eport</w:t>
      </w:r>
      <w:r w:rsidRPr="002760DE">
        <w:t>.</w:t>
      </w:r>
      <w:r w:rsidR="00F526BD" w:rsidRPr="002760DE">
        <w:t xml:space="preserve"> FSANZ received</w:t>
      </w:r>
      <w:r w:rsidR="00F526BD">
        <w:t xml:space="preserve"> </w:t>
      </w:r>
      <w:r w:rsidR="00CE7866">
        <w:t>one submission and one late comment</w:t>
      </w:r>
      <w:r w:rsidR="00F526BD">
        <w:t>.</w:t>
      </w:r>
    </w:p>
    <w:p w14:paraId="66CCFA63" w14:textId="77777777" w:rsidR="00CA5734" w:rsidRDefault="00CA5734" w:rsidP="00CA5734"/>
    <w:p w14:paraId="78282203" w14:textId="77777777" w:rsidR="00CF2447" w:rsidRDefault="00CF2447" w:rsidP="00CF2447">
      <w:pPr>
        <w:widowControl/>
      </w:pPr>
      <w:r>
        <w:t xml:space="preserve">FSANZ approved </w:t>
      </w:r>
      <w:r w:rsidRPr="00865E8D">
        <w:t xml:space="preserve">the draft variation on </w:t>
      </w:r>
      <w:r w:rsidRPr="005A7D7A">
        <w:t xml:space="preserve">9 March 2017. The </w:t>
      </w:r>
      <w:r w:rsidRPr="005A7D7A">
        <w:rPr>
          <w:rFonts w:cs="Helvetica"/>
          <w:lang w:val="en-AU"/>
        </w:rPr>
        <w:t xml:space="preserve">Australia and New Zealand Ministerial Forum on Food </w:t>
      </w:r>
      <w:r w:rsidRPr="005A7D7A">
        <w:rPr>
          <w:rFonts w:cs="Arial"/>
        </w:rPr>
        <w:t>Regulation</w:t>
      </w:r>
      <w:r w:rsidRPr="005A7D7A">
        <w:rPr>
          <w:rFonts w:cs="Helvetica"/>
          <w:lang w:val="en-AU"/>
        </w:rPr>
        <w:t xml:space="preserve"> </w:t>
      </w:r>
      <w:r w:rsidRPr="005A7D7A">
        <w:rPr>
          <w:rFonts w:cs="Arial"/>
        </w:rPr>
        <w:t>(Forum)</w:t>
      </w:r>
      <w:r w:rsidRPr="005A7D7A">
        <w:t xml:space="preserve"> was notified of FSANZ’s decision on </w:t>
      </w:r>
    </w:p>
    <w:p w14:paraId="36ADC25B" w14:textId="77777777" w:rsidR="00CF2447" w:rsidRPr="005A7D7A" w:rsidRDefault="00CF2447" w:rsidP="00CF2447">
      <w:pPr>
        <w:widowControl/>
      </w:pPr>
      <w:r w:rsidRPr="005A7D7A">
        <w:t>22 March 2017.</w:t>
      </w:r>
    </w:p>
    <w:p w14:paraId="23433BAA" w14:textId="77777777" w:rsidR="00CA5734" w:rsidRDefault="00CA5734" w:rsidP="00CA5734"/>
    <w:p w14:paraId="6554A287" w14:textId="45E519EB" w:rsidR="00081B0A" w:rsidRDefault="003A7B84" w:rsidP="00292B9B">
      <w:r>
        <w:t>This R</w:t>
      </w:r>
      <w:r w:rsidR="00B425AA">
        <w:t xml:space="preserve">eport is provided pursuant to </w:t>
      </w:r>
      <w:r w:rsidR="009A2699">
        <w:t>paragraph</w:t>
      </w:r>
      <w:r w:rsidR="00081B0A">
        <w:t xml:space="preserve"> </w:t>
      </w:r>
      <w:r w:rsidR="00081B0A" w:rsidRPr="002760DE">
        <w:t>33(1</w:t>
      </w:r>
      <w:proofErr w:type="gramStart"/>
      <w:r w:rsidR="00081B0A" w:rsidRPr="002760DE">
        <w:t>)(</w:t>
      </w:r>
      <w:proofErr w:type="gramEnd"/>
      <w:r w:rsidR="00081B0A" w:rsidRPr="002760DE">
        <w:t xml:space="preserve">b) </w:t>
      </w:r>
      <w:r w:rsidR="00081B0A">
        <w:t xml:space="preserve">of the </w:t>
      </w:r>
      <w:r w:rsidR="00081B0A" w:rsidRPr="0012388D">
        <w:rPr>
          <w:i/>
        </w:rPr>
        <w:t>Food Standards Australia New Zealand Act 1991</w:t>
      </w:r>
      <w:r w:rsidR="00081B0A">
        <w:t xml:space="preserve"> (the FSANZ Act).</w:t>
      </w:r>
    </w:p>
    <w:p w14:paraId="7AEBF09A" w14:textId="77777777" w:rsidR="00F526BD" w:rsidRDefault="00F526BD" w:rsidP="00A671E6"/>
    <w:p w14:paraId="487A42CC" w14:textId="77777777" w:rsidR="00EB6590" w:rsidRDefault="00EB6590" w:rsidP="00F526BD"/>
    <w:p w14:paraId="156179E2"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578D8A8C"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C090695" w14:textId="77777777" w:rsidR="00CE59AA" w:rsidRPr="00346622" w:rsidRDefault="00CE59AA" w:rsidP="00CE59AA">
      <w:pPr>
        <w:rPr>
          <w:rFonts w:cs="Arial"/>
          <w:sz w:val="20"/>
          <w:szCs w:val="20"/>
        </w:rPr>
      </w:pPr>
    </w:p>
    <w:p w14:paraId="471F5074" w14:textId="77777777" w:rsidR="009D3C06" w:rsidRPr="00CF2447"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CF2447">
        <w:rPr>
          <w:rFonts w:ascii="Arial" w:hAnsi="Arial" w:cs="Arial"/>
          <w:b w:val="0"/>
          <w:bCs w:val="0"/>
          <w:caps w:val="0"/>
          <w:smallCaps/>
        </w:rPr>
        <w:fldChar w:fldCharType="begin"/>
      </w:r>
      <w:r w:rsidRPr="00CF2447">
        <w:rPr>
          <w:rFonts w:ascii="Arial" w:hAnsi="Arial" w:cs="Arial"/>
        </w:rPr>
        <w:instrText xml:space="preserve"> TOC \h \z \t "Heading 1,1,Heading 2,2,Heading 3,3" </w:instrText>
      </w:r>
      <w:r w:rsidRPr="00CF2447">
        <w:rPr>
          <w:rFonts w:ascii="Arial" w:hAnsi="Arial" w:cs="Arial"/>
          <w:b w:val="0"/>
          <w:bCs w:val="0"/>
          <w:caps w:val="0"/>
          <w:smallCaps/>
        </w:rPr>
        <w:fldChar w:fldCharType="separate"/>
      </w:r>
      <w:hyperlink w:anchor="_Toc475101740" w:history="1">
        <w:r w:rsidR="009D3C06" w:rsidRPr="00CF2447">
          <w:rPr>
            <w:rStyle w:val="Hyperlink"/>
            <w:rFonts w:ascii="Arial" w:hAnsi="Arial" w:cs="Arial"/>
            <w:noProof/>
          </w:rPr>
          <w:t>Executive summary</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_Toc475101740 \h </w:instrText>
        </w:r>
        <w:r w:rsidR="009D3C06" w:rsidRPr="00CF2447">
          <w:rPr>
            <w:rFonts w:ascii="Arial" w:hAnsi="Arial" w:cs="Arial"/>
            <w:noProof/>
            <w:webHidden/>
          </w:rPr>
        </w:r>
        <w:r w:rsidR="009D3C06" w:rsidRPr="00CF2447">
          <w:rPr>
            <w:rFonts w:ascii="Arial" w:hAnsi="Arial" w:cs="Arial"/>
            <w:noProof/>
            <w:webHidden/>
          </w:rPr>
          <w:fldChar w:fldCharType="separate"/>
        </w:r>
        <w:r w:rsidR="009F73F4">
          <w:rPr>
            <w:rFonts w:ascii="Arial" w:hAnsi="Arial" w:cs="Arial"/>
            <w:noProof/>
            <w:webHidden/>
          </w:rPr>
          <w:t>2</w:t>
        </w:r>
        <w:r w:rsidR="009D3C06" w:rsidRPr="00CF2447">
          <w:rPr>
            <w:rFonts w:ascii="Arial" w:hAnsi="Arial" w:cs="Arial"/>
            <w:noProof/>
            <w:webHidden/>
          </w:rPr>
          <w:fldChar w:fldCharType="end"/>
        </w:r>
      </w:hyperlink>
    </w:p>
    <w:p w14:paraId="175E4936" w14:textId="77777777" w:rsidR="009D3C06" w:rsidRPr="00CF2447" w:rsidRDefault="009F73F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101741" w:history="1">
        <w:r w:rsidR="009D3C06" w:rsidRPr="00CF2447">
          <w:rPr>
            <w:rStyle w:val="Hyperlink"/>
            <w:rFonts w:ascii="Arial" w:hAnsi="Arial" w:cs="Arial"/>
            <w:noProof/>
          </w:rPr>
          <w:t>1</w:t>
        </w:r>
        <w:r w:rsidR="009D3C06" w:rsidRPr="00CF2447">
          <w:rPr>
            <w:rFonts w:ascii="Arial" w:eastAsiaTheme="minorEastAsia" w:hAnsi="Arial" w:cs="Arial"/>
            <w:b w:val="0"/>
            <w:bCs w:val="0"/>
            <w:caps w:val="0"/>
            <w:noProof/>
            <w:sz w:val="22"/>
            <w:szCs w:val="22"/>
            <w:lang w:eastAsia="en-GB" w:bidi="ar-SA"/>
          </w:rPr>
          <w:tab/>
        </w:r>
        <w:r w:rsidR="009D3C06" w:rsidRPr="00CF2447">
          <w:rPr>
            <w:rStyle w:val="Hyperlink"/>
            <w:rFonts w:ascii="Arial" w:hAnsi="Arial" w:cs="Arial"/>
            <w:noProof/>
          </w:rPr>
          <w:t>Introduction</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_Toc475101741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3</w:t>
        </w:r>
        <w:r w:rsidR="009D3C06" w:rsidRPr="00CF2447">
          <w:rPr>
            <w:rFonts w:ascii="Arial" w:hAnsi="Arial" w:cs="Arial"/>
            <w:noProof/>
            <w:webHidden/>
          </w:rPr>
          <w:fldChar w:fldCharType="end"/>
        </w:r>
      </w:hyperlink>
    </w:p>
    <w:p w14:paraId="172B52A5"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2" w:history="1">
        <w:r w:rsidR="009D3C06" w:rsidRPr="00CF2447">
          <w:rPr>
            <w:rStyle w:val="Hyperlink"/>
            <w:rFonts w:ascii="Arial" w:hAnsi="Arial" w:cs="Arial"/>
            <w:noProof/>
          </w:rPr>
          <w:t>1.1</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The Applicant</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_Toc475101742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3</w:t>
        </w:r>
        <w:r w:rsidR="009D3C06" w:rsidRPr="00CF2447">
          <w:rPr>
            <w:rFonts w:ascii="Arial" w:hAnsi="Arial" w:cs="Arial"/>
            <w:noProof/>
            <w:webHidden/>
          </w:rPr>
          <w:fldChar w:fldCharType="end"/>
        </w:r>
      </w:hyperlink>
    </w:p>
    <w:p w14:paraId="740E35FE"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3" w:history="1">
        <w:r w:rsidR="009D3C06" w:rsidRPr="00CF2447">
          <w:rPr>
            <w:rStyle w:val="Hyperlink"/>
            <w:rFonts w:ascii="Arial" w:hAnsi="Arial" w:cs="Arial"/>
            <w:noProof/>
          </w:rPr>
          <w:t>1.2</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The Application</w:t>
        </w:r>
        <w:bookmarkStart w:id="0" w:name="_GoBack"/>
        <w:bookmarkEnd w:id="0"/>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_Toc475101743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3</w:t>
        </w:r>
        <w:r w:rsidR="009D3C06" w:rsidRPr="00CF2447">
          <w:rPr>
            <w:rFonts w:ascii="Arial" w:hAnsi="Arial" w:cs="Arial"/>
            <w:noProof/>
            <w:webHidden/>
          </w:rPr>
          <w:fldChar w:fldCharType="end"/>
        </w:r>
      </w:hyperlink>
    </w:p>
    <w:p w14:paraId="603A3800"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4" w:history="1">
        <w:r w:rsidR="009D3C06" w:rsidRPr="00CF2447">
          <w:rPr>
            <w:rStyle w:val="Hyperlink"/>
            <w:rFonts w:ascii="Arial" w:hAnsi="Arial" w:cs="Arial"/>
            <w:noProof/>
          </w:rPr>
          <w:t>1.3</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The current Standard</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_Toc475101744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3</w:t>
        </w:r>
        <w:r w:rsidR="009D3C06" w:rsidRPr="00CF2447">
          <w:rPr>
            <w:rFonts w:ascii="Arial" w:hAnsi="Arial" w:cs="Arial"/>
            <w:noProof/>
            <w:webHidden/>
          </w:rPr>
          <w:fldChar w:fldCharType="end"/>
        </w:r>
      </w:hyperlink>
    </w:p>
    <w:p w14:paraId="3483330A" w14:textId="77777777" w:rsidR="009D3C06" w:rsidRPr="00CF2447" w:rsidRDefault="009F73F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101745" w:history="1">
        <w:r w:rsidR="009D3C06" w:rsidRPr="00CF2447">
          <w:rPr>
            <w:rStyle w:val="Hyperlink"/>
            <w:rFonts w:ascii="Arial" w:hAnsi="Arial" w:cs="Arial"/>
            <w:noProof/>
          </w:rPr>
          <w:t>1.3.1</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National and International Standards</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_Toc475101745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4</w:t>
        </w:r>
        <w:r w:rsidR="009D3C06" w:rsidRPr="00CF2447">
          <w:rPr>
            <w:rFonts w:ascii="Arial" w:hAnsi="Arial" w:cs="Arial"/>
            <w:noProof/>
            <w:webHidden/>
          </w:rPr>
          <w:fldChar w:fldCharType="end"/>
        </w:r>
      </w:hyperlink>
    </w:p>
    <w:p w14:paraId="2849D4B6"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6" w:history="1">
        <w:r w:rsidR="009D3C06" w:rsidRPr="00CF2447">
          <w:rPr>
            <w:rStyle w:val="Hyperlink"/>
            <w:rFonts w:ascii="Arial" w:hAnsi="Arial" w:cs="Arial"/>
            <w:noProof/>
            <w:u w:color="FFFF00"/>
          </w:rPr>
          <w:t>1.4</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u w:color="FFFF00"/>
          </w:rPr>
          <w:t>Reasons for accepting Application</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_Toc475101746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4</w:t>
        </w:r>
        <w:r w:rsidR="009D3C06" w:rsidRPr="00CF2447">
          <w:rPr>
            <w:rFonts w:ascii="Arial" w:hAnsi="Arial" w:cs="Arial"/>
            <w:noProof/>
            <w:webHidden/>
          </w:rPr>
          <w:fldChar w:fldCharType="end"/>
        </w:r>
      </w:hyperlink>
    </w:p>
    <w:p w14:paraId="337207EF"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7" w:history="1">
        <w:r w:rsidR="009D3C06" w:rsidRPr="00CF2447">
          <w:rPr>
            <w:rStyle w:val="Hyperlink"/>
            <w:rFonts w:ascii="Arial" w:hAnsi="Arial" w:cs="Arial"/>
            <w:noProof/>
          </w:rPr>
          <w:t>1.5</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Procedure for assessment</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_Toc475101747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5</w:t>
        </w:r>
        <w:r w:rsidR="009D3C06" w:rsidRPr="00CF2447">
          <w:rPr>
            <w:rFonts w:ascii="Arial" w:hAnsi="Arial" w:cs="Arial"/>
            <w:noProof/>
            <w:webHidden/>
          </w:rPr>
          <w:fldChar w:fldCharType="end"/>
        </w:r>
      </w:hyperlink>
    </w:p>
    <w:p w14:paraId="38A7300B"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48" w:history="1">
        <w:r w:rsidR="009D3C06" w:rsidRPr="00CF2447">
          <w:rPr>
            <w:rStyle w:val="Hyperlink"/>
            <w:rFonts w:ascii="Arial" w:hAnsi="Arial" w:cs="Arial"/>
            <w:noProof/>
          </w:rPr>
          <w:t>1.6</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Decision</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_Toc475101748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5</w:t>
        </w:r>
        <w:r w:rsidR="009D3C06" w:rsidRPr="00CF2447">
          <w:rPr>
            <w:rFonts w:ascii="Arial" w:hAnsi="Arial" w:cs="Arial"/>
            <w:noProof/>
            <w:webHidden/>
          </w:rPr>
          <w:fldChar w:fldCharType="end"/>
        </w:r>
      </w:hyperlink>
    </w:p>
    <w:p w14:paraId="00EAF622" w14:textId="77777777" w:rsidR="009D3C06" w:rsidRPr="00CF2447" w:rsidRDefault="009F73F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5101749" w:history="1">
        <w:r w:rsidR="009D3C06" w:rsidRPr="00CF2447">
          <w:rPr>
            <w:rStyle w:val="Hyperlink"/>
            <w:rFonts w:ascii="Arial" w:hAnsi="Arial" w:cs="Arial"/>
            <w:noProof/>
          </w:rPr>
          <w:t>2</w:t>
        </w:r>
        <w:r w:rsidR="009D3C06" w:rsidRPr="00CF2447">
          <w:rPr>
            <w:rFonts w:ascii="Arial" w:eastAsiaTheme="minorEastAsia" w:hAnsi="Arial" w:cs="Arial"/>
            <w:b w:val="0"/>
            <w:bCs w:val="0"/>
            <w:caps w:val="0"/>
            <w:noProof/>
            <w:sz w:val="22"/>
            <w:szCs w:val="22"/>
            <w:lang w:eastAsia="en-GB" w:bidi="ar-SA"/>
          </w:rPr>
          <w:tab/>
        </w:r>
        <w:r w:rsidR="009D3C06" w:rsidRPr="00CF2447">
          <w:rPr>
            <w:rStyle w:val="Hyperlink"/>
            <w:rFonts w:ascii="Arial" w:hAnsi="Arial" w:cs="Arial"/>
            <w:noProof/>
          </w:rPr>
          <w:t xml:space="preserve">Summary </w:t>
        </w:r>
        <w:r w:rsidR="009D3C06" w:rsidRPr="00CF2447">
          <w:rPr>
            <w:rStyle w:val="Hyperlink"/>
            <w:rFonts w:ascii="Arial" w:hAnsi="Arial" w:cs="Arial"/>
            <w:noProof/>
            <w:u w:color="FFFF00"/>
          </w:rPr>
          <w:t>of</w:t>
        </w:r>
        <w:r w:rsidR="009D3C06" w:rsidRPr="00CF2447">
          <w:rPr>
            <w:rStyle w:val="Hyperlink"/>
            <w:rFonts w:ascii="Arial" w:hAnsi="Arial" w:cs="Arial"/>
            <w:noProof/>
          </w:rPr>
          <w:t xml:space="preserve"> the findings</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_Toc475101749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5</w:t>
        </w:r>
        <w:r w:rsidR="009D3C06" w:rsidRPr="00CF2447">
          <w:rPr>
            <w:rFonts w:ascii="Arial" w:hAnsi="Arial" w:cs="Arial"/>
            <w:noProof/>
            <w:webHidden/>
          </w:rPr>
          <w:fldChar w:fldCharType="end"/>
        </w:r>
      </w:hyperlink>
    </w:p>
    <w:p w14:paraId="50F12B8D"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50" w:history="1">
        <w:r w:rsidR="009D3C06" w:rsidRPr="00CF2447">
          <w:rPr>
            <w:rStyle w:val="Hyperlink"/>
            <w:rFonts w:ascii="Arial" w:hAnsi="Arial" w:cs="Arial"/>
            <w:noProof/>
          </w:rPr>
          <w:t>2.1</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Summary of issues raised in submissions</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_Toc475101750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5</w:t>
        </w:r>
        <w:r w:rsidR="009D3C06" w:rsidRPr="00CF2447">
          <w:rPr>
            <w:rFonts w:ascii="Arial" w:hAnsi="Arial" w:cs="Arial"/>
            <w:noProof/>
            <w:webHidden/>
          </w:rPr>
          <w:fldChar w:fldCharType="end"/>
        </w:r>
      </w:hyperlink>
    </w:p>
    <w:p w14:paraId="4F2098B7"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51" w:history="1">
        <w:r w:rsidR="009D3C06" w:rsidRPr="00CF2447">
          <w:rPr>
            <w:rStyle w:val="Hyperlink"/>
            <w:rFonts w:ascii="Arial" w:hAnsi="Arial" w:cs="Arial"/>
            <w:noProof/>
          </w:rPr>
          <w:t>2.2</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Risk assessment</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_Toc475101751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8</w:t>
        </w:r>
        <w:r w:rsidR="009D3C06" w:rsidRPr="00CF2447">
          <w:rPr>
            <w:rFonts w:ascii="Arial" w:hAnsi="Arial" w:cs="Arial"/>
            <w:noProof/>
            <w:webHidden/>
          </w:rPr>
          <w:fldChar w:fldCharType="end"/>
        </w:r>
      </w:hyperlink>
    </w:p>
    <w:p w14:paraId="308F7747"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52" w:history="1">
        <w:r w:rsidR="009D3C06" w:rsidRPr="00CF2447">
          <w:rPr>
            <w:rStyle w:val="Hyperlink"/>
            <w:rFonts w:ascii="Arial" w:hAnsi="Arial" w:cs="Arial"/>
            <w:noProof/>
          </w:rPr>
          <w:t>2.3</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Risk management</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_Toc475101752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9</w:t>
        </w:r>
        <w:r w:rsidR="009D3C06" w:rsidRPr="00CF2447">
          <w:rPr>
            <w:rFonts w:ascii="Arial" w:hAnsi="Arial" w:cs="Arial"/>
            <w:noProof/>
            <w:webHidden/>
          </w:rPr>
          <w:fldChar w:fldCharType="end"/>
        </w:r>
      </w:hyperlink>
    </w:p>
    <w:p w14:paraId="0ADFAD9F"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53" w:history="1">
        <w:r w:rsidR="009D3C06" w:rsidRPr="00CF2447">
          <w:rPr>
            <w:rStyle w:val="Hyperlink"/>
            <w:rFonts w:ascii="Arial" w:hAnsi="Arial" w:cs="Arial"/>
            <w:noProof/>
          </w:rPr>
          <w:t>2.4</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Risk communication</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_Toc475101753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9</w:t>
        </w:r>
        <w:r w:rsidR="009D3C06" w:rsidRPr="00CF2447">
          <w:rPr>
            <w:rFonts w:ascii="Arial" w:hAnsi="Arial" w:cs="Arial"/>
            <w:noProof/>
            <w:webHidden/>
          </w:rPr>
          <w:fldChar w:fldCharType="end"/>
        </w:r>
      </w:hyperlink>
    </w:p>
    <w:p w14:paraId="42146389" w14:textId="77777777" w:rsidR="009D3C06" w:rsidRPr="00CF2447" w:rsidRDefault="009F73F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101754" w:history="1">
        <w:r w:rsidR="009D3C06" w:rsidRPr="00CF2447">
          <w:rPr>
            <w:rStyle w:val="Hyperlink"/>
            <w:rFonts w:ascii="Arial" w:hAnsi="Arial" w:cs="Arial"/>
            <w:noProof/>
          </w:rPr>
          <w:t>2.4.1</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Communication Strategy</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_Toc475101754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9</w:t>
        </w:r>
        <w:r w:rsidR="009D3C06" w:rsidRPr="00CF2447">
          <w:rPr>
            <w:rFonts w:ascii="Arial" w:hAnsi="Arial" w:cs="Arial"/>
            <w:noProof/>
            <w:webHidden/>
          </w:rPr>
          <w:fldChar w:fldCharType="end"/>
        </w:r>
      </w:hyperlink>
    </w:p>
    <w:p w14:paraId="233B5025" w14:textId="77777777" w:rsidR="009D3C06" w:rsidRPr="00CF2447" w:rsidRDefault="009F73F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101755" w:history="1">
        <w:r w:rsidR="009D3C06" w:rsidRPr="00CF2447">
          <w:rPr>
            <w:rStyle w:val="Hyperlink"/>
            <w:rFonts w:ascii="Arial" w:hAnsi="Arial" w:cs="Arial"/>
            <w:noProof/>
          </w:rPr>
          <w:t>2.4.2</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Consultation</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_Toc475101755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9</w:t>
        </w:r>
        <w:r w:rsidR="009D3C06" w:rsidRPr="00CF2447">
          <w:rPr>
            <w:rFonts w:ascii="Arial" w:hAnsi="Arial" w:cs="Arial"/>
            <w:noProof/>
            <w:webHidden/>
          </w:rPr>
          <w:fldChar w:fldCharType="end"/>
        </w:r>
      </w:hyperlink>
    </w:p>
    <w:p w14:paraId="357E58F5" w14:textId="77777777" w:rsidR="009D3C06" w:rsidRPr="00CF2447" w:rsidRDefault="009F73F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101756" w:history="1">
        <w:r w:rsidR="009D3C06" w:rsidRPr="00CF2447">
          <w:rPr>
            <w:rStyle w:val="Hyperlink"/>
            <w:rFonts w:ascii="Arial" w:hAnsi="Arial" w:cs="Arial"/>
            <w:noProof/>
          </w:rPr>
          <w:t>2.4.3</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World Trade Organization (WTO)</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_Toc475101756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10</w:t>
        </w:r>
        <w:r w:rsidR="009D3C06" w:rsidRPr="00CF2447">
          <w:rPr>
            <w:rFonts w:ascii="Arial" w:hAnsi="Arial" w:cs="Arial"/>
            <w:noProof/>
            <w:webHidden/>
          </w:rPr>
          <w:fldChar w:fldCharType="end"/>
        </w:r>
      </w:hyperlink>
    </w:p>
    <w:p w14:paraId="4B278DB7" w14:textId="77777777" w:rsidR="009D3C06" w:rsidRPr="00CF2447" w:rsidRDefault="009F73F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5101757" w:history="1">
        <w:r w:rsidR="009D3C06" w:rsidRPr="00CF2447">
          <w:rPr>
            <w:rStyle w:val="Hyperlink"/>
            <w:rFonts w:ascii="Arial" w:hAnsi="Arial" w:cs="Arial"/>
            <w:noProof/>
          </w:rPr>
          <w:t>2.5</w:t>
        </w:r>
        <w:r w:rsidR="009D3C06" w:rsidRPr="00CF2447">
          <w:rPr>
            <w:rFonts w:ascii="Arial" w:eastAsiaTheme="minorEastAsia" w:hAnsi="Arial" w:cs="Arial"/>
            <w:smallCaps w:val="0"/>
            <w:noProof/>
            <w:sz w:val="22"/>
            <w:szCs w:val="22"/>
            <w:lang w:eastAsia="en-GB" w:bidi="ar-SA"/>
          </w:rPr>
          <w:tab/>
        </w:r>
        <w:r w:rsidR="009D3C06" w:rsidRPr="00CF2447">
          <w:rPr>
            <w:rStyle w:val="Hyperlink"/>
            <w:rFonts w:ascii="Arial" w:hAnsi="Arial" w:cs="Arial"/>
            <w:noProof/>
          </w:rPr>
          <w:t>FSANZ Act assessment requirements</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_Toc475101757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10</w:t>
        </w:r>
        <w:r w:rsidR="009D3C06" w:rsidRPr="00CF2447">
          <w:rPr>
            <w:rFonts w:ascii="Arial" w:hAnsi="Arial" w:cs="Arial"/>
            <w:noProof/>
            <w:webHidden/>
          </w:rPr>
          <w:fldChar w:fldCharType="end"/>
        </w:r>
      </w:hyperlink>
    </w:p>
    <w:p w14:paraId="47746FBC" w14:textId="77777777" w:rsidR="009D3C06" w:rsidRPr="00CF2447" w:rsidRDefault="009F73F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5101758" w:history="1">
        <w:r w:rsidR="009D3C06" w:rsidRPr="00CF2447">
          <w:rPr>
            <w:rStyle w:val="Hyperlink"/>
            <w:rFonts w:ascii="Arial" w:hAnsi="Arial" w:cs="Arial"/>
            <w:noProof/>
          </w:rPr>
          <w:t>2.5.1</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Section 29</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_Toc475101758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10</w:t>
        </w:r>
        <w:r w:rsidR="009D3C06" w:rsidRPr="00CF2447">
          <w:rPr>
            <w:rFonts w:ascii="Arial" w:hAnsi="Arial" w:cs="Arial"/>
            <w:noProof/>
            <w:webHidden/>
          </w:rPr>
          <w:fldChar w:fldCharType="end"/>
        </w:r>
      </w:hyperlink>
    </w:p>
    <w:p w14:paraId="58EF595C" w14:textId="77777777" w:rsidR="009D3C06" w:rsidRPr="00CF2447" w:rsidRDefault="009F73F4">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75101759" w:history="1">
        <w:r w:rsidR="009D3C06" w:rsidRPr="00CF2447">
          <w:rPr>
            <w:rStyle w:val="Hyperlink"/>
            <w:rFonts w:ascii="Arial" w:hAnsi="Arial" w:cs="Arial"/>
            <w:noProof/>
          </w:rPr>
          <w:t>2.5.2.</w:t>
        </w:r>
        <w:r w:rsidR="009D3C06" w:rsidRPr="00CF2447">
          <w:rPr>
            <w:rFonts w:ascii="Arial" w:eastAsiaTheme="minorEastAsia" w:hAnsi="Arial" w:cs="Arial"/>
            <w:i w:val="0"/>
            <w:iCs w:val="0"/>
            <w:noProof/>
            <w:sz w:val="22"/>
            <w:szCs w:val="22"/>
            <w:lang w:eastAsia="en-GB" w:bidi="ar-SA"/>
          </w:rPr>
          <w:tab/>
        </w:r>
        <w:r w:rsidR="009D3C06" w:rsidRPr="00CF2447">
          <w:rPr>
            <w:rStyle w:val="Hyperlink"/>
            <w:rFonts w:ascii="Arial" w:hAnsi="Arial" w:cs="Arial"/>
            <w:noProof/>
          </w:rPr>
          <w:t>Subsection 18(1)</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_Toc475101759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12</w:t>
        </w:r>
        <w:r w:rsidR="009D3C06" w:rsidRPr="00CF2447">
          <w:rPr>
            <w:rFonts w:ascii="Arial" w:hAnsi="Arial" w:cs="Arial"/>
            <w:noProof/>
            <w:webHidden/>
          </w:rPr>
          <w:fldChar w:fldCharType="end"/>
        </w:r>
      </w:hyperlink>
    </w:p>
    <w:p w14:paraId="714404FF" w14:textId="77777777" w:rsidR="009D3C06" w:rsidRPr="00CF2447" w:rsidRDefault="009F73F4">
      <w:pPr>
        <w:pStyle w:val="TOC2"/>
        <w:tabs>
          <w:tab w:val="right" w:leader="dot" w:pos="9060"/>
        </w:tabs>
        <w:rPr>
          <w:rFonts w:ascii="Arial" w:eastAsiaTheme="minorEastAsia" w:hAnsi="Arial" w:cs="Arial"/>
          <w:smallCaps w:val="0"/>
          <w:noProof/>
          <w:sz w:val="22"/>
          <w:szCs w:val="22"/>
          <w:lang w:eastAsia="en-GB" w:bidi="ar-SA"/>
        </w:rPr>
      </w:pPr>
      <w:hyperlink w:anchor="_Toc475101760" w:history="1">
        <w:r w:rsidR="009D3C06" w:rsidRPr="00CF2447">
          <w:rPr>
            <w:rStyle w:val="Hyperlink"/>
            <w:rFonts w:ascii="Arial" w:hAnsi="Arial" w:cs="Arial"/>
            <w:noProof/>
          </w:rPr>
          <w:t xml:space="preserve">Attachment A – Approved draft variation to the </w:t>
        </w:r>
        <w:r w:rsidR="009D3C06" w:rsidRPr="00CF2447">
          <w:rPr>
            <w:rStyle w:val="Hyperlink"/>
            <w:rFonts w:ascii="Arial" w:hAnsi="Arial" w:cs="Arial"/>
            <w:i/>
            <w:noProof/>
          </w:rPr>
          <w:t>Australia New Zealand Food Standards Code</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_Toc475101760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14</w:t>
        </w:r>
        <w:r w:rsidR="009D3C06" w:rsidRPr="00CF2447">
          <w:rPr>
            <w:rFonts w:ascii="Arial" w:hAnsi="Arial" w:cs="Arial"/>
            <w:noProof/>
            <w:webHidden/>
          </w:rPr>
          <w:fldChar w:fldCharType="end"/>
        </w:r>
      </w:hyperlink>
    </w:p>
    <w:p w14:paraId="59809E06" w14:textId="77777777" w:rsidR="009D3C06" w:rsidRPr="00CF2447" w:rsidRDefault="009F73F4">
      <w:pPr>
        <w:pStyle w:val="TOC2"/>
        <w:tabs>
          <w:tab w:val="right" w:leader="dot" w:pos="9060"/>
        </w:tabs>
        <w:rPr>
          <w:rFonts w:ascii="Arial" w:eastAsiaTheme="minorEastAsia" w:hAnsi="Arial" w:cs="Arial"/>
          <w:smallCaps w:val="0"/>
          <w:noProof/>
          <w:sz w:val="22"/>
          <w:szCs w:val="22"/>
          <w:lang w:eastAsia="en-GB" w:bidi="ar-SA"/>
        </w:rPr>
      </w:pPr>
      <w:hyperlink w:anchor="_Toc475101761" w:history="1">
        <w:r w:rsidR="009D3C06" w:rsidRPr="00CF2447">
          <w:rPr>
            <w:rStyle w:val="Hyperlink"/>
            <w:rFonts w:ascii="Arial" w:hAnsi="Arial" w:cs="Arial"/>
            <w:noProof/>
          </w:rPr>
          <w:t>Attachment B – Explanatory Statement</w:t>
        </w:r>
        <w:r w:rsidR="009D3C06" w:rsidRPr="00CF2447">
          <w:rPr>
            <w:rFonts w:ascii="Arial" w:hAnsi="Arial" w:cs="Arial"/>
            <w:noProof/>
            <w:webHidden/>
          </w:rPr>
          <w:tab/>
        </w:r>
        <w:r w:rsidR="009D3C06" w:rsidRPr="00CF2447">
          <w:rPr>
            <w:rFonts w:ascii="Arial" w:hAnsi="Arial" w:cs="Arial"/>
            <w:noProof/>
            <w:webHidden/>
          </w:rPr>
          <w:fldChar w:fldCharType="begin"/>
        </w:r>
        <w:r w:rsidR="009D3C06" w:rsidRPr="00CF2447">
          <w:rPr>
            <w:rFonts w:ascii="Arial" w:hAnsi="Arial" w:cs="Arial"/>
            <w:noProof/>
            <w:webHidden/>
          </w:rPr>
          <w:instrText xml:space="preserve"> PAGEREF _Toc475101761 \h </w:instrText>
        </w:r>
        <w:r w:rsidR="009D3C06" w:rsidRPr="00CF2447">
          <w:rPr>
            <w:rFonts w:ascii="Arial" w:hAnsi="Arial" w:cs="Arial"/>
            <w:noProof/>
            <w:webHidden/>
          </w:rPr>
        </w:r>
        <w:r w:rsidR="009D3C06" w:rsidRPr="00CF2447">
          <w:rPr>
            <w:rFonts w:ascii="Arial" w:hAnsi="Arial" w:cs="Arial"/>
            <w:noProof/>
            <w:webHidden/>
          </w:rPr>
          <w:fldChar w:fldCharType="separate"/>
        </w:r>
        <w:r>
          <w:rPr>
            <w:rFonts w:ascii="Arial" w:hAnsi="Arial" w:cs="Arial"/>
            <w:noProof/>
            <w:webHidden/>
          </w:rPr>
          <w:t>16</w:t>
        </w:r>
        <w:r w:rsidR="009D3C06" w:rsidRPr="00CF2447">
          <w:rPr>
            <w:rFonts w:ascii="Arial" w:hAnsi="Arial" w:cs="Arial"/>
            <w:noProof/>
            <w:webHidden/>
          </w:rPr>
          <w:fldChar w:fldCharType="end"/>
        </w:r>
      </w:hyperlink>
    </w:p>
    <w:p w14:paraId="016C8724" w14:textId="77777777" w:rsidR="0012388D" w:rsidRDefault="00B55714" w:rsidP="00C91C02">
      <w:r w:rsidRPr="00CF2447">
        <w:rPr>
          <w:rFonts w:cs="Arial"/>
          <w:sz w:val="20"/>
          <w:szCs w:val="20"/>
        </w:rPr>
        <w:fldChar w:fldCharType="end"/>
      </w:r>
    </w:p>
    <w:p w14:paraId="3B892953" w14:textId="77777777" w:rsidR="007F7BF7" w:rsidRDefault="007F7BF7" w:rsidP="00CA5734"/>
    <w:p w14:paraId="1803264E"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4BE13269" w14:textId="77777777" w:rsidR="00A671E6" w:rsidRPr="0089264A" w:rsidRDefault="00A671E6" w:rsidP="00A671E6">
      <w:pPr>
        <w:rPr>
          <w:szCs w:val="22"/>
        </w:rPr>
      </w:pPr>
    </w:p>
    <w:p w14:paraId="1957C934" w14:textId="07BE75EA" w:rsidR="007A53BF" w:rsidRPr="0089264A" w:rsidRDefault="007A53BF" w:rsidP="007A53BF">
      <w:pPr>
        <w:rPr>
          <w:color w:val="FF0000"/>
          <w:szCs w:val="22"/>
        </w:rPr>
      </w:pPr>
      <w:r w:rsidRPr="00CF4837">
        <w:rPr>
          <w:szCs w:val="22"/>
        </w:rPr>
        <w:t xml:space="preserve">The </w:t>
      </w:r>
      <w:hyperlink r:id="rId18" w:history="1">
        <w:r w:rsidR="00CF4837" w:rsidRPr="00CE7866">
          <w:rPr>
            <w:rStyle w:val="Hyperlink"/>
            <w:szCs w:val="22"/>
          </w:rPr>
          <w:t>following document</w:t>
        </w:r>
      </w:hyperlink>
      <w:r w:rsidR="00CF4837" w:rsidRPr="00CF4837">
        <w:rPr>
          <w:rStyle w:val="FootnoteReference"/>
          <w:szCs w:val="22"/>
        </w:rPr>
        <w:footnoteReference w:id="2"/>
      </w:r>
      <w:r w:rsidRPr="00CF4837">
        <w:rPr>
          <w:szCs w:val="22"/>
        </w:rPr>
        <w:t>which informed the assessment of this Application</w:t>
      </w:r>
      <w:r w:rsidRPr="002048F8">
        <w:rPr>
          <w:szCs w:val="22"/>
        </w:rPr>
        <w:t xml:space="preserve"> </w:t>
      </w:r>
      <w:r w:rsidR="00C27330">
        <w:rPr>
          <w:szCs w:val="22"/>
        </w:rPr>
        <w:t>is</w:t>
      </w:r>
      <w:r w:rsidRPr="002048F8">
        <w:rPr>
          <w:szCs w:val="22"/>
        </w:rPr>
        <w:t xml:space="preserve"> </w:t>
      </w:r>
      <w:r w:rsidRPr="0089264A">
        <w:rPr>
          <w:szCs w:val="22"/>
        </w:rPr>
        <w:t>available on</w:t>
      </w:r>
      <w:r w:rsidR="002048F8">
        <w:rPr>
          <w:szCs w:val="22"/>
        </w:rPr>
        <w:t xml:space="preserve"> the FSANZ website</w:t>
      </w:r>
      <w:r w:rsidR="00C27330">
        <w:rPr>
          <w:szCs w:val="22"/>
        </w:rPr>
        <w:t>.</w:t>
      </w:r>
    </w:p>
    <w:p w14:paraId="57CE884F" w14:textId="77777777" w:rsidR="007A53BF" w:rsidRPr="0089264A" w:rsidRDefault="007A53BF" w:rsidP="007A53BF">
      <w:pPr>
        <w:rPr>
          <w:szCs w:val="22"/>
        </w:rPr>
      </w:pPr>
    </w:p>
    <w:p w14:paraId="29503649" w14:textId="2B927A32" w:rsidR="007A53BF" w:rsidRPr="003A7725" w:rsidRDefault="007A53BF" w:rsidP="007A53BF">
      <w:pPr>
        <w:ind w:left="1134" w:hanging="1134"/>
        <w:rPr>
          <w:color w:val="FF0000"/>
        </w:rPr>
      </w:pPr>
      <w:r w:rsidRPr="002048F8">
        <w:t>SD1</w:t>
      </w:r>
      <w:r w:rsidRPr="003A7725">
        <w:rPr>
          <w:color w:val="FF0000"/>
        </w:rPr>
        <w:tab/>
      </w:r>
      <w:r w:rsidR="002048F8" w:rsidRPr="001C1A43">
        <w:rPr>
          <w:rFonts w:cs="Arial"/>
          <w:szCs w:val="32"/>
        </w:rPr>
        <w:t xml:space="preserve">Risk assessment </w:t>
      </w:r>
      <w:r w:rsidR="002048F8">
        <w:rPr>
          <w:rFonts w:cs="Arial"/>
          <w:szCs w:val="32"/>
        </w:rPr>
        <w:t>on</w:t>
      </w:r>
      <w:r w:rsidR="002048F8" w:rsidRPr="001C1A43">
        <w:rPr>
          <w:rFonts w:cs="Arial"/>
          <w:szCs w:val="32"/>
        </w:rPr>
        <w:t xml:space="preserve"> </w:t>
      </w:r>
      <w:r w:rsidR="003C4605">
        <w:rPr>
          <w:rFonts w:cs="Arial"/>
          <w:szCs w:val="32"/>
        </w:rPr>
        <w:t>approved</w:t>
      </w:r>
      <w:r w:rsidR="002048F8">
        <w:rPr>
          <w:rFonts w:cs="Arial"/>
          <w:szCs w:val="32"/>
        </w:rPr>
        <w:t xml:space="preserve"> m</w:t>
      </w:r>
      <w:r w:rsidR="002048F8" w:rsidRPr="001C1A43">
        <w:rPr>
          <w:rFonts w:cs="Arial"/>
          <w:szCs w:val="32"/>
        </w:rPr>
        <w:t xml:space="preserve">aximum </w:t>
      </w:r>
      <w:r w:rsidR="002048F8">
        <w:rPr>
          <w:rFonts w:cs="Arial"/>
          <w:szCs w:val="32"/>
        </w:rPr>
        <w:t>r</w:t>
      </w:r>
      <w:r w:rsidR="002048F8" w:rsidRPr="001C1A43">
        <w:rPr>
          <w:rFonts w:cs="Arial"/>
          <w:szCs w:val="32"/>
        </w:rPr>
        <w:t xml:space="preserve">esidue </w:t>
      </w:r>
      <w:r w:rsidR="002048F8">
        <w:rPr>
          <w:rFonts w:cs="Arial"/>
          <w:szCs w:val="32"/>
        </w:rPr>
        <w:t>l</w:t>
      </w:r>
      <w:r w:rsidR="002048F8" w:rsidRPr="001C1A43">
        <w:rPr>
          <w:rFonts w:cs="Arial"/>
          <w:szCs w:val="32"/>
        </w:rPr>
        <w:t xml:space="preserve">imits for </w:t>
      </w:r>
      <w:r w:rsidR="002048F8">
        <w:rPr>
          <w:rFonts w:cs="Arial"/>
          <w:szCs w:val="32"/>
        </w:rPr>
        <w:t>a</w:t>
      </w:r>
      <w:r w:rsidR="002048F8" w:rsidRPr="001C1A43">
        <w:rPr>
          <w:rFonts w:cs="Arial"/>
          <w:szCs w:val="32"/>
        </w:rPr>
        <w:t xml:space="preserve">vilamycin in specific </w:t>
      </w:r>
      <w:r w:rsidR="002048F8">
        <w:rPr>
          <w:rFonts w:cs="Arial"/>
          <w:szCs w:val="32"/>
        </w:rPr>
        <w:t>p</w:t>
      </w:r>
      <w:r w:rsidR="002048F8" w:rsidRPr="001C1A43">
        <w:rPr>
          <w:rFonts w:cs="Arial"/>
          <w:szCs w:val="32"/>
        </w:rPr>
        <w:t xml:space="preserve">ig </w:t>
      </w:r>
      <w:r w:rsidR="002048F8">
        <w:rPr>
          <w:rFonts w:cs="Arial"/>
          <w:szCs w:val="32"/>
        </w:rPr>
        <w:t>commodities</w:t>
      </w:r>
      <w:r w:rsidR="00CF4837">
        <w:rPr>
          <w:rFonts w:cs="Arial"/>
          <w:szCs w:val="32"/>
        </w:rPr>
        <w:t xml:space="preserve"> (at Approval)</w:t>
      </w:r>
    </w:p>
    <w:p w14:paraId="053F6477" w14:textId="77777777" w:rsidR="003C4969" w:rsidRPr="00CA5734" w:rsidRDefault="00D15A08" w:rsidP="009A2699">
      <w:pPr>
        <w:spacing w:line="280" w:lineRule="exact"/>
        <w:ind w:left="851" w:hanging="851"/>
        <w:outlineLvl w:val="3"/>
        <w:rPr>
          <w:vanish/>
          <w:color w:val="FF0000"/>
        </w:rPr>
      </w:pPr>
      <w:r w:rsidRPr="00CA5734">
        <w:br w:type="page"/>
      </w:r>
    </w:p>
    <w:p w14:paraId="6BFDE9D1" w14:textId="77777777" w:rsidR="007A53BF" w:rsidRPr="007A53BF" w:rsidRDefault="007A53BF" w:rsidP="00CE59AA">
      <w:pPr>
        <w:pStyle w:val="Heading1"/>
      </w:pPr>
      <w:bookmarkStart w:id="1" w:name="_Toc286391001"/>
      <w:bookmarkStart w:id="2" w:name="_Toc300933414"/>
      <w:bookmarkStart w:id="3" w:name="_Toc370223463"/>
      <w:bookmarkStart w:id="4" w:name="_Toc475101740"/>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141C2C0D" w14:textId="353FB5B0" w:rsidR="00B87C73" w:rsidRPr="0095350F" w:rsidRDefault="00B87C73" w:rsidP="00B87C73">
      <w:pPr>
        <w:rPr>
          <w:lang w:bidi="ar-SA"/>
        </w:rPr>
      </w:pPr>
      <w:r w:rsidRPr="0095350F">
        <w:rPr>
          <w:lang w:bidi="ar-SA"/>
        </w:rPr>
        <w:t xml:space="preserve">Elanco Animal Health </w:t>
      </w:r>
      <w:r>
        <w:rPr>
          <w:lang w:bidi="ar-SA"/>
        </w:rPr>
        <w:t>lodged</w:t>
      </w:r>
      <w:r w:rsidRPr="0095350F">
        <w:rPr>
          <w:lang w:bidi="ar-SA"/>
        </w:rPr>
        <w:t xml:space="preserve"> an Application seeking to </w:t>
      </w:r>
      <w:r>
        <w:rPr>
          <w:lang w:bidi="ar-SA"/>
        </w:rPr>
        <w:t>harmonise</w:t>
      </w:r>
      <w:r w:rsidRPr="0095350F">
        <w:rPr>
          <w:lang w:bidi="ar-SA"/>
        </w:rPr>
        <w:t xml:space="preserve"> </w:t>
      </w:r>
      <w:r>
        <w:rPr>
          <w:lang w:bidi="ar-SA"/>
        </w:rPr>
        <w:t>maximum residue limits</w:t>
      </w:r>
      <w:r w:rsidRPr="0095350F">
        <w:rPr>
          <w:lang w:bidi="ar-SA"/>
        </w:rPr>
        <w:t xml:space="preserve"> </w:t>
      </w:r>
      <w:r>
        <w:rPr>
          <w:lang w:bidi="ar-SA"/>
        </w:rPr>
        <w:t>(</w:t>
      </w:r>
      <w:r w:rsidRPr="0095350F">
        <w:rPr>
          <w:lang w:bidi="ar-SA"/>
        </w:rPr>
        <w:t>MRLs</w:t>
      </w:r>
      <w:r>
        <w:rPr>
          <w:lang w:bidi="ar-SA"/>
        </w:rPr>
        <w:t>)</w:t>
      </w:r>
      <w:r w:rsidRPr="0095350F">
        <w:rPr>
          <w:lang w:bidi="ar-SA"/>
        </w:rPr>
        <w:t xml:space="preserve"> </w:t>
      </w:r>
      <w:r>
        <w:rPr>
          <w:lang w:bidi="ar-SA"/>
        </w:rPr>
        <w:t xml:space="preserve">in the </w:t>
      </w:r>
      <w:r w:rsidRPr="00C66EDB">
        <w:rPr>
          <w:i/>
          <w:lang w:bidi="ar-SA"/>
        </w:rPr>
        <w:t>Australia New Zealand Food Standards Code</w:t>
      </w:r>
      <w:r w:rsidR="00F15ED2">
        <w:rPr>
          <w:i/>
          <w:lang w:bidi="ar-SA"/>
        </w:rPr>
        <w:t xml:space="preserve"> </w:t>
      </w:r>
      <w:r w:rsidR="00F15ED2" w:rsidRPr="00F15ED2">
        <w:rPr>
          <w:lang w:bidi="ar-SA"/>
        </w:rPr>
        <w:t>(the Code</w:t>
      </w:r>
      <w:r w:rsidR="00F15ED2">
        <w:rPr>
          <w:i/>
          <w:lang w:bidi="ar-SA"/>
        </w:rPr>
        <w:t>)</w:t>
      </w:r>
      <w:r>
        <w:rPr>
          <w:lang w:bidi="ar-SA"/>
        </w:rPr>
        <w:t xml:space="preserve"> </w:t>
      </w:r>
      <w:r w:rsidRPr="0095350F">
        <w:rPr>
          <w:lang w:bidi="ar-SA"/>
        </w:rPr>
        <w:t xml:space="preserve">for avilamycin </w:t>
      </w:r>
      <w:r>
        <w:rPr>
          <w:lang w:bidi="ar-SA"/>
        </w:rPr>
        <w:t>in</w:t>
      </w:r>
      <w:r w:rsidRPr="0095350F">
        <w:rPr>
          <w:lang w:bidi="ar-SA"/>
        </w:rPr>
        <w:t xml:space="preserve"> specific pig commodities</w:t>
      </w:r>
      <w:r w:rsidR="00FF3F7C">
        <w:rPr>
          <w:lang w:bidi="ar-SA"/>
        </w:rPr>
        <w:t>,</w:t>
      </w:r>
      <w:r w:rsidRPr="0095350F">
        <w:rPr>
          <w:lang w:bidi="ar-SA"/>
        </w:rPr>
        <w:t xml:space="preserve"> </w:t>
      </w:r>
      <w:r>
        <w:rPr>
          <w:lang w:bidi="ar-SA"/>
        </w:rPr>
        <w:t>with M</w:t>
      </w:r>
      <w:r w:rsidRPr="0095350F">
        <w:rPr>
          <w:lang w:bidi="ar-SA"/>
        </w:rPr>
        <w:t xml:space="preserve">RLs established by </w:t>
      </w:r>
      <w:r>
        <w:rPr>
          <w:lang w:bidi="ar-SA"/>
        </w:rPr>
        <w:t xml:space="preserve">the </w:t>
      </w:r>
      <w:r w:rsidRPr="0095350F">
        <w:rPr>
          <w:lang w:bidi="ar-SA"/>
        </w:rPr>
        <w:t>Codex Alimentari</w:t>
      </w:r>
      <w:r>
        <w:rPr>
          <w:lang w:bidi="ar-SA"/>
        </w:rPr>
        <w:t>us Commission</w:t>
      </w:r>
      <w:r w:rsidR="00280C66">
        <w:rPr>
          <w:lang w:bidi="ar-SA"/>
        </w:rPr>
        <w:t xml:space="preserve"> (Codex)</w:t>
      </w:r>
      <w:r>
        <w:rPr>
          <w:lang w:bidi="ar-SA"/>
        </w:rPr>
        <w:t>.</w:t>
      </w:r>
    </w:p>
    <w:p w14:paraId="17D2B3CF" w14:textId="77777777" w:rsidR="00B87C73" w:rsidRDefault="00B87C73" w:rsidP="00B87C73">
      <w:pPr>
        <w:rPr>
          <w:noProof/>
        </w:rPr>
      </w:pPr>
    </w:p>
    <w:p w14:paraId="0948D1D0" w14:textId="642CDFDA" w:rsidR="00B87C73" w:rsidRPr="0095350F" w:rsidRDefault="00B87C73" w:rsidP="00B87C73">
      <w:pPr>
        <w:rPr>
          <w:lang w:bidi="ar-SA"/>
        </w:rPr>
      </w:pPr>
      <w:r w:rsidRPr="0095350F">
        <w:rPr>
          <w:lang w:bidi="ar-SA"/>
        </w:rPr>
        <w:t>Avilamycin is an orthosomycin antibiotic</w:t>
      </w:r>
      <w:r w:rsidR="00511561">
        <w:rPr>
          <w:lang w:bidi="ar-SA"/>
        </w:rPr>
        <w:t>. T</w:t>
      </w:r>
      <w:r w:rsidRPr="0095350F">
        <w:rPr>
          <w:lang w:bidi="ar-SA"/>
        </w:rPr>
        <w:t xml:space="preserve">he Australian Pesticides and Veterinary Medicines Authority </w:t>
      </w:r>
      <w:r>
        <w:rPr>
          <w:lang w:bidi="ar-SA"/>
        </w:rPr>
        <w:t xml:space="preserve">(APVMA) </w:t>
      </w:r>
      <w:r w:rsidRPr="0095350F">
        <w:rPr>
          <w:lang w:bidi="ar-SA"/>
        </w:rPr>
        <w:t>has permitted its use in broiler chickens in Australia</w:t>
      </w:r>
      <w:r>
        <w:rPr>
          <w:lang w:bidi="ar-SA"/>
        </w:rPr>
        <w:t xml:space="preserve"> and there are existing MRLs for poultry in the Code</w:t>
      </w:r>
      <w:r w:rsidR="009E7BE0">
        <w:rPr>
          <w:lang w:bidi="ar-SA"/>
        </w:rPr>
        <w:t xml:space="preserve"> with the residue definition </w:t>
      </w:r>
      <w:r w:rsidR="00F84392">
        <w:rPr>
          <w:lang w:bidi="ar-SA"/>
        </w:rPr>
        <w:t>‘</w:t>
      </w:r>
      <w:r w:rsidR="009E7BE0">
        <w:rPr>
          <w:lang w:bidi="ar-SA"/>
        </w:rPr>
        <w:t xml:space="preserve">inhibitory </w:t>
      </w:r>
      <w:r w:rsidR="009E7BE0" w:rsidRPr="009E7BE0">
        <w:rPr>
          <w:lang w:bidi="ar-SA"/>
        </w:rPr>
        <w:t>substance, identified as avilamycin</w:t>
      </w:r>
      <w:r w:rsidR="00F84392">
        <w:rPr>
          <w:lang w:bidi="ar-SA"/>
        </w:rPr>
        <w:t>’</w:t>
      </w:r>
      <w:r w:rsidRPr="0095350F">
        <w:rPr>
          <w:lang w:bidi="ar-SA"/>
        </w:rPr>
        <w:t>.</w:t>
      </w:r>
      <w:r w:rsidR="00511561">
        <w:rPr>
          <w:lang w:bidi="ar-SA"/>
        </w:rPr>
        <w:t xml:space="preserve"> However, t</w:t>
      </w:r>
      <w:r w:rsidRPr="0095350F">
        <w:rPr>
          <w:lang w:bidi="ar-SA"/>
        </w:rPr>
        <w:t>here are currently no MRLs i</w:t>
      </w:r>
      <w:r>
        <w:rPr>
          <w:lang w:bidi="ar-SA"/>
        </w:rPr>
        <w:t>n the Code for pig commodities</w:t>
      </w:r>
      <w:r w:rsidR="00960C58">
        <w:rPr>
          <w:lang w:bidi="ar-SA"/>
        </w:rPr>
        <w:t xml:space="preserve"> and its use is not currently permitted </w:t>
      </w:r>
      <w:r w:rsidR="0037390B">
        <w:rPr>
          <w:lang w:bidi="ar-SA"/>
        </w:rPr>
        <w:t xml:space="preserve">in </w:t>
      </w:r>
      <w:r w:rsidR="003C1E9B">
        <w:rPr>
          <w:lang w:bidi="ar-SA"/>
        </w:rPr>
        <w:t xml:space="preserve">domestic </w:t>
      </w:r>
      <w:r w:rsidR="0037390B">
        <w:rPr>
          <w:lang w:bidi="ar-SA"/>
        </w:rPr>
        <w:t>pig production by the APVMA.</w:t>
      </w:r>
    </w:p>
    <w:p w14:paraId="49A5C239" w14:textId="77777777" w:rsidR="00B87C73" w:rsidRPr="0095350F" w:rsidRDefault="00B87C73" w:rsidP="00B87C73">
      <w:pPr>
        <w:rPr>
          <w:lang w:bidi="ar-SA"/>
        </w:rPr>
      </w:pPr>
    </w:p>
    <w:p w14:paraId="7718DE3E" w14:textId="6DE980A9" w:rsidR="00B87C73" w:rsidRDefault="00B87C73" w:rsidP="00B87C73">
      <w:pPr>
        <w:rPr>
          <w:lang w:bidi="ar-SA"/>
        </w:rPr>
      </w:pPr>
      <w:r w:rsidRPr="0095350F">
        <w:rPr>
          <w:lang w:bidi="ar-SA"/>
        </w:rPr>
        <w:t xml:space="preserve">Dietary exposure assessments undertaken for the Australian population indicate that the </w:t>
      </w:r>
      <w:r w:rsidR="00912152">
        <w:t xml:space="preserve">MRLs of 0.2 mg/kg on selected pig products and 0.3 mg/kg for pig liver using the residue marker, </w:t>
      </w:r>
      <w:r w:rsidR="00F84392">
        <w:t>‘</w:t>
      </w:r>
      <w:r w:rsidR="00912152">
        <w:t>dichloroisoeverninic acid (DIA)</w:t>
      </w:r>
      <w:r w:rsidR="00F84392">
        <w:t>’</w:t>
      </w:r>
      <w:r w:rsidR="006D71C0">
        <w:t xml:space="preserve"> </w:t>
      </w:r>
      <w:r w:rsidRPr="0095350F">
        <w:rPr>
          <w:lang w:bidi="ar-SA"/>
        </w:rPr>
        <w:t xml:space="preserve">for avilamycin residues </w:t>
      </w:r>
      <w:r>
        <w:rPr>
          <w:lang w:bidi="ar-SA"/>
        </w:rPr>
        <w:t xml:space="preserve">did not </w:t>
      </w:r>
      <w:r w:rsidRPr="00E111C2">
        <w:rPr>
          <w:lang w:bidi="ar-SA"/>
        </w:rPr>
        <w:t>substantially</w:t>
      </w:r>
      <w:r>
        <w:rPr>
          <w:lang w:bidi="ar-SA"/>
        </w:rPr>
        <w:t xml:space="preserve"> increase </w:t>
      </w:r>
      <w:r w:rsidR="00E838CF">
        <w:rPr>
          <w:lang w:bidi="ar-SA"/>
        </w:rPr>
        <w:t xml:space="preserve">estimates of potential </w:t>
      </w:r>
      <w:r>
        <w:rPr>
          <w:lang w:bidi="ar-SA"/>
        </w:rPr>
        <w:t>dietary exposure</w:t>
      </w:r>
      <w:r w:rsidRPr="0095350F">
        <w:rPr>
          <w:lang w:bidi="ar-SA"/>
        </w:rPr>
        <w:t>. In addition, the supplementary microbiological assessment concluded that</w:t>
      </w:r>
      <w:r>
        <w:rPr>
          <w:lang w:bidi="ar-SA"/>
        </w:rPr>
        <w:t>, based on</w:t>
      </w:r>
      <w:r w:rsidRPr="0095350F">
        <w:rPr>
          <w:lang w:bidi="ar-SA"/>
        </w:rPr>
        <w:t xml:space="preserve"> the available </w:t>
      </w:r>
      <w:r w:rsidR="00912152">
        <w:rPr>
          <w:lang w:bidi="ar-SA"/>
        </w:rPr>
        <w:t xml:space="preserve">data, </w:t>
      </w:r>
      <w:r w:rsidR="00F84392">
        <w:rPr>
          <w:lang w:bidi="ar-SA"/>
        </w:rPr>
        <w:t xml:space="preserve">harmonising with the requested </w:t>
      </w:r>
      <w:r w:rsidR="00912152">
        <w:rPr>
          <w:lang w:bidi="ar-SA"/>
        </w:rPr>
        <w:t>MRLs for</w:t>
      </w:r>
      <w:r>
        <w:rPr>
          <w:lang w:bidi="ar-SA"/>
        </w:rPr>
        <w:t xml:space="preserve"> </w:t>
      </w:r>
      <w:r>
        <w:t>avilamycin</w:t>
      </w:r>
      <w:r w:rsidR="005B1FC5">
        <w:t xml:space="preserve">, </w:t>
      </w:r>
      <w:r w:rsidR="006542AE">
        <w:t xml:space="preserve">the risk </w:t>
      </w:r>
      <w:r>
        <w:t>to consumers for the development of resistance to antimicrobials commonly used in human medicine</w:t>
      </w:r>
      <w:r w:rsidR="006542AE">
        <w:t xml:space="preserve"> was negligible</w:t>
      </w:r>
      <w:r>
        <w:t>.</w:t>
      </w:r>
    </w:p>
    <w:p w14:paraId="1012F30D" w14:textId="77777777" w:rsidR="00B87C73" w:rsidRDefault="00B87C73" w:rsidP="00B87C73">
      <w:pPr>
        <w:rPr>
          <w:lang w:bidi="ar-SA"/>
        </w:rPr>
      </w:pPr>
    </w:p>
    <w:p w14:paraId="688B2D3A" w14:textId="4683BD93" w:rsidR="005A7194" w:rsidRDefault="005A7194" w:rsidP="00B87C73">
      <w:pPr>
        <w:rPr>
          <w:lang w:bidi="ar-SA"/>
        </w:rPr>
      </w:pPr>
      <w:r>
        <w:rPr>
          <w:noProof/>
        </w:rPr>
        <w:t xml:space="preserve">FSANZ has approved a variation to the table to section S20—3 in Schedule 20 (an Australia only </w:t>
      </w:r>
      <w:r w:rsidR="00D3472F">
        <w:rPr>
          <w:noProof/>
        </w:rPr>
        <w:t>S</w:t>
      </w:r>
      <w:r>
        <w:rPr>
          <w:noProof/>
        </w:rPr>
        <w:t xml:space="preserve">tandard) to </w:t>
      </w:r>
      <w:r w:rsidR="00912152">
        <w:rPr>
          <w:noProof/>
        </w:rPr>
        <w:t>h</w:t>
      </w:r>
      <w:r w:rsidR="00F84392">
        <w:rPr>
          <w:noProof/>
        </w:rPr>
        <w:t>armonise</w:t>
      </w:r>
      <w:r>
        <w:rPr>
          <w:noProof/>
        </w:rPr>
        <w:t xml:space="preserve"> MRLs for </w:t>
      </w:r>
      <w:r w:rsidR="00C052B3">
        <w:rPr>
          <w:noProof/>
        </w:rPr>
        <w:t xml:space="preserve">specific </w:t>
      </w:r>
      <w:r>
        <w:rPr>
          <w:noProof/>
        </w:rPr>
        <w:t>pig commodities in the Code</w:t>
      </w:r>
      <w:r w:rsidR="00F84392">
        <w:rPr>
          <w:noProof/>
        </w:rPr>
        <w:t xml:space="preserve"> with Codex MRLs</w:t>
      </w:r>
      <w:r>
        <w:rPr>
          <w:noProof/>
        </w:rPr>
        <w:t xml:space="preserve"> using the residue definition</w:t>
      </w:r>
      <w:r w:rsidR="00A551A5">
        <w:rPr>
          <w:noProof/>
        </w:rPr>
        <w:t xml:space="preserve"> </w:t>
      </w:r>
      <w:r w:rsidR="00AD1276">
        <w:rPr>
          <w:noProof/>
        </w:rPr>
        <w:t>DIA</w:t>
      </w:r>
      <w:r w:rsidR="00F84392">
        <w:rPr>
          <w:noProof/>
        </w:rPr>
        <w:t xml:space="preserve"> for avilamycin</w:t>
      </w:r>
      <w:r>
        <w:rPr>
          <w:noProof/>
        </w:rPr>
        <w:t xml:space="preserve">. This </w:t>
      </w:r>
      <w:r w:rsidR="00B87C73" w:rsidRPr="0095350F">
        <w:rPr>
          <w:lang w:bidi="ar-SA"/>
        </w:rPr>
        <w:t>will permit the sale of specific pig food products containing legitimate residues at levels that are consistent with the effective control of pests and diseases</w:t>
      </w:r>
      <w:r w:rsidR="00C052B3">
        <w:rPr>
          <w:lang w:bidi="ar-SA"/>
        </w:rPr>
        <w:t xml:space="preserve"> and which do not present public health and safety</w:t>
      </w:r>
      <w:r w:rsidR="002E3B42">
        <w:rPr>
          <w:lang w:bidi="ar-SA"/>
        </w:rPr>
        <w:t xml:space="preserve"> concerns</w:t>
      </w:r>
      <w:r w:rsidR="00B87C73" w:rsidRPr="0095350F">
        <w:rPr>
          <w:lang w:bidi="ar-SA"/>
        </w:rPr>
        <w:t>.</w:t>
      </w:r>
    </w:p>
    <w:p w14:paraId="2245DAEE" w14:textId="3E52EFE6" w:rsidR="00C836FF" w:rsidRDefault="00C836FF" w:rsidP="00B87C73">
      <w:r>
        <w:br w:type="page"/>
      </w:r>
    </w:p>
    <w:p w14:paraId="6CECA67D" w14:textId="77777777" w:rsidR="007A53BF" w:rsidRPr="007A53BF" w:rsidRDefault="007A53BF" w:rsidP="00CE59AA">
      <w:pPr>
        <w:pStyle w:val="Heading1"/>
      </w:pPr>
      <w:bookmarkStart w:id="10" w:name="_Toc300933417"/>
      <w:bookmarkStart w:id="11" w:name="_Toc370223464"/>
      <w:bookmarkStart w:id="12" w:name="_Toc475101741"/>
      <w:r w:rsidRPr="007A53BF">
        <w:lastRenderedPageBreak/>
        <w:t>1</w:t>
      </w:r>
      <w:r w:rsidRPr="007A53BF">
        <w:tab/>
        <w:t>Introduction</w:t>
      </w:r>
      <w:bookmarkEnd w:id="10"/>
      <w:bookmarkEnd w:id="11"/>
      <w:bookmarkEnd w:id="12"/>
    </w:p>
    <w:p w14:paraId="4DBBF4EF" w14:textId="7123CC07" w:rsidR="007A53BF" w:rsidRPr="00CE59AA" w:rsidRDefault="007A53BF" w:rsidP="00CE59AA">
      <w:pPr>
        <w:pStyle w:val="Heading2"/>
        <w:rPr>
          <w:color w:val="FF0000"/>
        </w:rPr>
      </w:pPr>
      <w:bookmarkStart w:id="13" w:name="_Toc300761890"/>
      <w:bookmarkStart w:id="14" w:name="_Toc300933419"/>
      <w:bookmarkStart w:id="15" w:name="_Toc370223465"/>
      <w:bookmarkStart w:id="16" w:name="_Toc475101742"/>
      <w:r w:rsidRPr="007A53BF">
        <w:t>1.1</w:t>
      </w:r>
      <w:r w:rsidRPr="007A53BF">
        <w:tab/>
        <w:t>The Applicant</w:t>
      </w:r>
      <w:bookmarkEnd w:id="13"/>
      <w:bookmarkEnd w:id="14"/>
      <w:bookmarkEnd w:id="15"/>
      <w:bookmarkEnd w:id="16"/>
    </w:p>
    <w:p w14:paraId="3EB0417A" w14:textId="5C8EFC8B" w:rsidR="007A53BF" w:rsidRPr="007A53BF" w:rsidRDefault="00CB0A25" w:rsidP="007A53BF">
      <w:pPr>
        <w:rPr>
          <w:color w:val="00B050"/>
        </w:rPr>
      </w:pPr>
      <w:r>
        <w:rPr>
          <w:szCs w:val="22"/>
        </w:rPr>
        <w:t>Elanco Animal Health is a division of Eli Lilly and Company, a global pharmaceutical corporation and is a supplier of products and services within the animal health sector.</w:t>
      </w:r>
    </w:p>
    <w:p w14:paraId="0ACCB832" w14:textId="6184FDF4" w:rsidR="007A53BF" w:rsidRPr="007A53BF" w:rsidRDefault="007A53BF" w:rsidP="00CE59AA">
      <w:pPr>
        <w:pStyle w:val="Heading2"/>
      </w:pPr>
      <w:bookmarkStart w:id="17" w:name="_Toc300761891"/>
      <w:bookmarkStart w:id="18" w:name="_Toc300933420"/>
      <w:bookmarkStart w:id="19" w:name="_Toc370223466"/>
      <w:bookmarkStart w:id="20" w:name="_Toc475101743"/>
      <w:r w:rsidRPr="007A53BF">
        <w:t>1.2</w:t>
      </w:r>
      <w:r w:rsidRPr="007A53BF">
        <w:tab/>
        <w:t>The</w:t>
      </w:r>
      <w:r w:rsidRPr="00CB0A25">
        <w:t xml:space="preserve"> Application</w:t>
      </w:r>
      <w:bookmarkEnd w:id="17"/>
      <w:bookmarkEnd w:id="18"/>
      <w:bookmarkEnd w:id="19"/>
      <w:bookmarkEnd w:id="20"/>
    </w:p>
    <w:p w14:paraId="6F1B40AD" w14:textId="2CE6FC9B" w:rsidR="003A5AF5" w:rsidRDefault="00CB0A25" w:rsidP="003A5AF5">
      <w:pPr>
        <w:rPr>
          <w:szCs w:val="22"/>
        </w:rPr>
      </w:pPr>
      <w:r>
        <w:rPr>
          <w:szCs w:val="22"/>
        </w:rPr>
        <w:t xml:space="preserve">The Application sought to </w:t>
      </w:r>
      <w:r w:rsidR="00617238">
        <w:rPr>
          <w:szCs w:val="22"/>
        </w:rPr>
        <w:t>harmonise</w:t>
      </w:r>
      <w:r>
        <w:rPr>
          <w:szCs w:val="22"/>
        </w:rPr>
        <w:t xml:space="preserve"> MRLs in </w:t>
      </w:r>
      <w:r w:rsidR="00CF4837">
        <w:rPr>
          <w:szCs w:val="22"/>
        </w:rPr>
        <w:t xml:space="preserve">the table to section </w:t>
      </w:r>
      <w:r>
        <w:rPr>
          <w:szCs w:val="22"/>
        </w:rPr>
        <w:t xml:space="preserve">S20—3 for avilamycin in specific pig commodities and thus facilitate trade in </w:t>
      </w:r>
      <w:r w:rsidR="00617238">
        <w:rPr>
          <w:szCs w:val="22"/>
        </w:rPr>
        <w:t>p</w:t>
      </w:r>
      <w:r>
        <w:rPr>
          <w:szCs w:val="22"/>
        </w:rPr>
        <w:t xml:space="preserve">ig commodities between the United States of America (USA) and Australia. The MRLs requested for </w:t>
      </w:r>
      <w:r w:rsidR="00280C66">
        <w:rPr>
          <w:szCs w:val="22"/>
        </w:rPr>
        <w:t xml:space="preserve">the </w:t>
      </w:r>
      <w:r>
        <w:rPr>
          <w:szCs w:val="22"/>
        </w:rPr>
        <w:t xml:space="preserve">specific pig commodities would align MRLs in the Code with Codex and allow the </w:t>
      </w:r>
      <w:r w:rsidR="004C3F16">
        <w:rPr>
          <w:szCs w:val="22"/>
        </w:rPr>
        <w:t>importation/</w:t>
      </w:r>
      <w:r>
        <w:rPr>
          <w:szCs w:val="22"/>
        </w:rPr>
        <w:t>sale of</w:t>
      </w:r>
      <w:r w:rsidR="00957692">
        <w:rPr>
          <w:szCs w:val="22"/>
        </w:rPr>
        <w:t xml:space="preserve"> food with legitimate residues.</w:t>
      </w:r>
    </w:p>
    <w:p w14:paraId="553D9490" w14:textId="77777777" w:rsidR="003A5AF5" w:rsidRDefault="003A5AF5" w:rsidP="003A5AF5">
      <w:pPr>
        <w:rPr>
          <w:szCs w:val="22"/>
        </w:rPr>
      </w:pPr>
    </w:p>
    <w:p w14:paraId="677B69E1" w14:textId="3295EDA2" w:rsidR="003A5AF5" w:rsidRPr="003A5AF5" w:rsidRDefault="003A5AF5" w:rsidP="003A5AF5">
      <w:r w:rsidRPr="003A5AF5">
        <w:t>Table 1 outlines current MRLs for pig commodities established by Codex for the chemical avilamycin and which w</w:t>
      </w:r>
      <w:r w:rsidR="00CF2447">
        <w:t>ere requested by the A</w:t>
      </w:r>
      <w:r w:rsidR="00957692">
        <w:t>pplicant.</w:t>
      </w:r>
    </w:p>
    <w:p w14:paraId="0499CBA3" w14:textId="77777777" w:rsidR="003A5AF5" w:rsidRPr="003A5AF5" w:rsidRDefault="003A5AF5" w:rsidP="003A5AF5"/>
    <w:p w14:paraId="1B25E490" w14:textId="6151E5C4" w:rsidR="003A5AF5" w:rsidRPr="003A5AF5" w:rsidRDefault="003A5AF5" w:rsidP="003A5AF5">
      <w:pPr>
        <w:rPr>
          <w:b/>
        </w:rPr>
      </w:pPr>
      <w:r w:rsidRPr="003A5AF5">
        <w:rPr>
          <w:b/>
        </w:rPr>
        <w:t xml:space="preserve">Table 1: Commodities and MRLs requested by the </w:t>
      </w:r>
      <w:r w:rsidR="00CF2447">
        <w:rPr>
          <w:b/>
        </w:rPr>
        <w:t>A</w:t>
      </w:r>
      <w:r w:rsidRPr="003A5AF5">
        <w:rPr>
          <w:b/>
        </w:rPr>
        <w:t>pplicant to align the Code with Cod</w:t>
      </w:r>
      <w:r w:rsidR="00CF2447">
        <w:rPr>
          <w:b/>
        </w:rPr>
        <w:t>ex for the chemical a</w:t>
      </w:r>
      <w:r w:rsidRPr="003A5AF5">
        <w:rPr>
          <w:b/>
        </w:rPr>
        <w:t>vilamycin</w:t>
      </w:r>
    </w:p>
    <w:p w14:paraId="17BE3292" w14:textId="77777777" w:rsidR="003A5AF5" w:rsidRPr="003A5AF5" w:rsidRDefault="003A5AF5" w:rsidP="003A5AF5"/>
    <w:tbl>
      <w:tblPr>
        <w:tblStyle w:val="TableGrid"/>
        <w:tblW w:w="0" w:type="auto"/>
        <w:jc w:val="center"/>
        <w:tblLayout w:type="fixed"/>
        <w:tblLook w:val="00A0" w:firstRow="1" w:lastRow="0" w:firstColumn="1" w:lastColumn="0" w:noHBand="0" w:noVBand="0"/>
        <w:tblCaption w:val="Table 1: Commodities and MRLs requested to align with Codex for the chemical Avilamycin "/>
        <w:tblDescription w:val="Table provides a list of requested pig commodities and MRLs in mg/kg (pig fat/skin 0.2, pig meat 0.2, pig kidney 0.2 and pig liver0.3). The residue definition is listed as dichloroisoevernic acid (DIA)."/>
      </w:tblPr>
      <w:tblGrid>
        <w:gridCol w:w="1951"/>
        <w:gridCol w:w="1985"/>
        <w:gridCol w:w="2835"/>
      </w:tblGrid>
      <w:tr w:rsidR="005F69BD" w:rsidRPr="003A5AF5" w14:paraId="3D3BCB75" w14:textId="77777777" w:rsidTr="00CF2447">
        <w:trPr>
          <w:jc w:val="center"/>
        </w:trPr>
        <w:tc>
          <w:tcPr>
            <w:tcW w:w="1951" w:type="dxa"/>
          </w:tcPr>
          <w:p w14:paraId="2FF2EFD9" w14:textId="77777777" w:rsidR="005F69BD" w:rsidRDefault="005F69BD" w:rsidP="006F3D76">
            <w:pPr>
              <w:rPr>
                <w:b/>
                <w:sz w:val="20"/>
                <w:szCs w:val="20"/>
              </w:rPr>
            </w:pPr>
            <w:r w:rsidRPr="00CF2447">
              <w:rPr>
                <w:b/>
                <w:sz w:val="20"/>
                <w:szCs w:val="20"/>
              </w:rPr>
              <w:t>Chemical</w:t>
            </w:r>
          </w:p>
          <w:p w14:paraId="1ACB7F83" w14:textId="77CDDB12" w:rsidR="00CF2447" w:rsidRPr="00CF2447" w:rsidRDefault="00CF2447" w:rsidP="006F3D76">
            <w:pPr>
              <w:rPr>
                <w:b/>
                <w:sz w:val="20"/>
                <w:szCs w:val="20"/>
              </w:rPr>
            </w:pPr>
          </w:p>
        </w:tc>
        <w:tc>
          <w:tcPr>
            <w:tcW w:w="1985" w:type="dxa"/>
          </w:tcPr>
          <w:p w14:paraId="2E87D1EE" w14:textId="2D1C92EB" w:rsidR="005F69BD" w:rsidRPr="00CF2447" w:rsidRDefault="005F69BD" w:rsidP="006F3D76">
            <w:pPr>
              <w:rPr>
                <w:b/>
                <w:sz w:val="20"/>
                <w:szCs w:val="20"/>
              </w:rPr>
            </w:pPr>
            <w:r w:rsidRPr="00CF2447">
              <w:rPr>
                <w:b/>
                <w:sz w:val="20"/>
                <w:szCs w:val="20"/>
              </w:rPr>
              <w:t>Commodity</w:t>
            </w:r>
          </w:p>
        </w:tc>
        <w:tc>
          <w:tcPr>
            <w:tcW w:w="2835" w:type="dxa"/>
          </w:tcPr>
          <w:p w14:paraId="155D741A" w14:textId="44AEEFA0" w:rsidR="005F69BD" w:rsidRPr="00CF2447" w:rsidRDefault="005F69BD" w:rsidP="006F3D76">
            <w:pPr>
              <w:rPr>
                <w:b/>
                <w:sz w:val="20"/>
                <w:szCs w:val="20"/>
              </w:rPr>
            </w:pPr>
            <w:r w:rsidRPr="00CF2447">
              <w:rPr>
                <w:b/>
                <w:sz w:val="20"/>
                <w:szCs w:val="20"/>
              </w:rPr>
              <w:t>Requested MRL (mg/kg)</w:t>
            </w:r>
          </w:p>
        </w:tc>
      </w:tr>
      <w:tr w:rsidR="005F69BD" w:rsidRPr="003A5AF5" w14:paraId="383D94A9" w14:textId="77777777" w:rsidTr="00CF2447">
        <w:trPr>
          <w:jc w:val="center"/>
        </w:trPr>
        <w:tc>
          <w:tcPr>
            <w:tcW w:w="1951" w:type="dxa"/>
            <w:vMerge w:val="restart"/>
          </w:tcPr>
          <w:p w14:paraId="2E6E175F" w14:textId="2952EF73" w:rsidR="00A93150" w:rsidRPr="00CE7866" w:rsidRDefault="00A93150" w:rsidP="00CF2447">
            <w:pPr>
              <w:spacing w:before="60" w:after="60"/>
              <w:rPr>
                <w:sz w:val="18"/>
                <w:szCs w:val="20"/>
              </w:rPr>
            </w:pPr>
            <w:r w:rsidRPr="00CE7866">
              <w:rPr>
                <w:sz w:val="18"/>
                <w:szCs w:val="20"/>
              </w:rPr>
              <w:t>Avilamycin</w:t>
            </w:r>
          </w:p>
          <w:p w14:paraId="52F74617" w14:textId="13B077C3" w:rsidR="005F69BD" w:rsidRPr="00CF2447" w:rsidRDefault="005F69BD" w:rsidP="00CF2447">
            <w:pPr>
              <w:spacing w:before="60" w:after="60"/>
              <w:rPr>
                <w:b/>
                <w:bCs/>
                <w:i/>
                <w:sz w:val="18"/>
                <w:szCs w:val="20"/>
              </w:rPr>
            </w:pPr>
            <w:r w:rsidRPr="00CE7866">
              <w:rPr>
                <w:i/>
                <w:sz w:val="18"/>
                <w:szCs w:val="20"/>
              </w:rPr>
              <w:t>Residue definition: dichloroisoeverninic acid (DIA)</w:t>
            </w:r>
          </w:p>
        </w:tc>
        <w:tc>
          <w:tcPr>
            <w:tcW w:w="1985" w:type="dxa"/>
          </w:tcPr>
          <w:p w14:paraId="530525DB" w14:textId="35BCF295" w:rsidR="005F69BD" w:rsidRPr="00CE7866" w:rsidRDefault="005F69BD" w:rsidP="00CF2447">
            <w:pPr>
              <w:spacing w:before="60" w:after="60"/>
              <w:rPr>
                <w:b/>
                <w:bCs/>
                <w:sz w:val="20"/>
                <w:szCs w:val="20"/>
              </w:rPr>
            </w:pPr>
            <w:r w:rsidRPr="00CE7866">
              <w:rPr>
                <w:sz w:val="20"/>
                <w:szCs w:val="20"/>
              </w:rPr>
              <w:t>Pig fat/skin</w:t>
            </w:r>
          </w:p>
        </w:tc>
        <w:tc>
          <w:tcPr>
            <w:tcW w:w="2835" w:type="dxa"/>
          </w:tcPr>
          <w:p w14:paraId="51FB7ED5" w14:textId="45CFDBAA" w:rsidR="005F69BD" w:rsidRPr="00CE7866" w:rsidRDefault="005F69BD" w:rsidP="00CF2447">
            <w:pPr>
              <w:spacing w:before="60" w:after="60"/>
              <w:rPr>
                <w:sz w:val="20"/>
                <w:szCs w:val="20"/>
              </w:rPr>
            </w:pPr>
            <w:r w:rsidRPr="00CE7866">
              <w:rPr>
                <w:sz w:val="20"/>
                <w:szCs w:val="20"/>
              </w:rPr>
              <w:t>0.2</w:t>
            </w:r>
          </w:p>
        </w:tc>
      </w:tr>
      <w:tr w:rsidR="005F69BD" w:rsidRPr="003A5AF5" w14:paraId="1CB6D444" w14:textId="77777777" w:rsidTr="00CF2447">
        <w:trPr>
          <w:jc w:val="center"/>
        </w:trPr>
        <w:tc>
          <w:tcPr>
            <w:tcW w:w="1951" w:type="dxa"/>
            <w:vMerge/>
          </w:tcPr>
          <w:p w14:paraId="566348C0" w14:textId="228794C0" w:rsidR="005F69BD" w:rsidRPr="00CE7866" w:rsidRDefault="005F69BD" w:rsidP="00CF2447">
            <w:pPr>
              <w:spacing w:before="60" w:after="60"/>
              <w:rPr>
                <w:sz w:val="20"/>
                <w:szCs w:val="20"/>
              </w:rPr>
            </w:pPr>
          </w:p>
        </w:tc>
        <w:tc>
          <w:tcPr>
            <w:tcW w:w="1985" w:type="dxa"/>
          </w:tcPr>
          <w:p w14:paraId="76A6BEBD" w14:textId="6BC86C7D" w:rsidR="005F69BD" w:rsidRPr="00CE7866" w:rsidRDefault="005F69BD" w:rsidP="00CF2447">
            <w:pPr>
              <w:spacing w:before="60" w:after="60"/>
              <w:rPr>
                <w:sz w:val="20"/>
                <w:szCs w:val="20"/>
              </w:rPr>
            </w:pPr>
            <w:r w:rsidRPr="00CE7866">
              <w:rPr>
                <w:sz w:val="20"/>
                <w:szCs w:val="20"/>
              </w:rPr>
              <w:t>Pig kidney</w:t>
            </w:r>
          </w:p>
        </w:tc>
        <w:tc>
          <w:tcPr>
            <w:tcW w:w="2835" w:type="dxa"/>
          </w:tcPr>
          <w:p w14:paraId="75F03F3C" w14:textId="6BC4692B" w:rsidR="005F69BD" w:rsidRPr="00CE7866" w:rsidRDefault="005F69BD" w:rsidP="00CF2447">
            <w:pPr>
              <w:spacing w:before="60" w:after="60"/>
              <w:rPr>
                <w:sz w:val="20"/>
                <w:szCs w:val="20"/>
              </w:rPr>
            </w:pPr>
            <w:r w:rsidRPr="00CE7866">
              <w:rPr>
                <w:sz w:val="20"/>
                <w:szCs w:val="20"/>
              </w:rPr>
              <w:t>0.2</w:t>
            </w:r>
          </w:p>
        </w:tc>
      </w:tr>
      <w:tr w:rsidR="005F69BD" w:rsidRPr="003A5AF5" w14:paraId="7620C804" w14:textId="77777777" w:rsidTr="00CF2447">
        <w:trPr>
          <w:jc w:val="center"/>
        </w:trPr>
        <w:tc>
          <w:tcPr>
            <w:tcW w:w="1951" w:type="dxa"/>
            <w:vMerge/>
          </w:tcPr>
          <w:p w14:paraId="4435DDA5" w14:textId="4D5D7058" w:rsidR="005F69BD" w:rsidRPr="00CE7866" w:rsidRDefault="005F69BD" w:rsidP="00CF2447">
            <w:pPr>
              <w:spacing w:before="60" w:after="60"/>
              <w:rPr>
                <w:sz w:val="20"/>
                <w:szCs w:val="20"/>
              </w:rPr>
            </w:pPr>
          </w:p>
        </w:tc>
        <w:tc>
          <w:tcPr>
            <w:tcW w:w="1985" w:type="dxa"/>
          </w:tcPr>
          <w:p w14:paraId="2CF9E4BC" w14:textId="24A1BC60" w:rsidR="005F69BD" w:rsidRPr="00CE7866" w:rsidRDefault="005F69BD" w:rsidP="00CF2447">
            <w:pPr>
              <w:spacing w:before="60" w:after="60"/>
              <w:rPr>
                <w:b/>
                <w:sz w:val="20"/>
                <w:szCs w:val="20"/>
              </w:rPr>
            </w:pPr>
            <w:r w:rsidRPr="00CE7866">
              <w:rPr>
                <w:sz w:val="20"/>
                <w:szCs w:val="20"/>
              </w:rPr>
              <w:t>Pig liver</w:t>
            </w:r>
          </w:p>
        </w:tc>
        <w:tc>
          <w:tcPr>
            <w:tcW w:w="2835" w:type="dxa"/>
          </w:tcPr>
          <w:p w14:paraId="09C8C456" w14:textId="5D586EDB" w:rsidR="005F69BD" w:rsidRPr="00CE7866" w:rsidRDefault="005F69BD" w:rsidP="00CF2447">
            <w:pPr>
              <w:spacing w:before="60" w:after="60"/>
              <w:rPr>
                <w:sz w:val="20"/>
                <w:szCs w:val="20"/>
              </w:rPr>
            </w:pPr>
            <w:r w:rsidRPr="00CE7866">
              <w:rPr>
                <w:sz w:val="20"/>
                <w:szCs w:val="20"/>
              </w:rPr>
              <w:t>0.3</w:t>
            </w:r>
          </w:p>
        </w:tc>
      </w:tr>
      <w:tr w:rsidR="005F69BD" w:rsidRPr="003A5AF5" w14:paraId="021DA9E6" w14:textId="77777777" w:rsidTr="00CF2447">
        <w:trPr>
          <w:jc w:val="center"/>
        </w:trPr>
        <w:tc>
          <w:tcPr>
            <w:tcW w:w="1951" w:type="dxa"/>
            <w:vMerge/>
          </w:tcPr>
          <w:p w14:paraId="2A95AE2D" w14:textId="48F03DDB" w:rsidR="005F69BD" w:rsidRPr="00CE7866" w:rsidRDefault="005F69BD" w:rsidP="00CF2447">
            <w:pPr>
              <w:spacing w:before="60" w:after="60"/>
              <w:rPr>
                <w:sz w:val="20"/>
                <w:szCs w:val="20"/>
              </w:rPr>
            </w:pPr>
          </w:p>
        </w:tc>
        <w:tc>
          <w:tcPr>
            <w:tcW w:w="1985" w:type="dxa"/>
          </w:tcPr>
          <w:p w14:paraId="62A64B2B" w14:textId="625476A4" w:rsidR="005F69BD" w:rsidRPr="00CE7866" w:rsidRDefault="005F69BD" w:rsidP="00CF2447">
            <w:pPr>
              <w:spacing w:before="60" w:after="60"/>
              <w:rPr>
                <w:b/>
                <w:sz w:val="20"/>
                <w:szCs w:val="20"/>
              </w:rPr>
            </w:pPr>
            <w:r w:rsidRPr="00CE7866">
              <w:rPr>
                <w:sz w:val="20"/>
                <w:szCs w:val="20"/>
              </w:rPr>
              <w:t>Pig meat</w:t>
            </w:r>
          </w:p>
        </w:tc>
        <w:tc>
          <w:tcPr>
            <w:tcW w:w="2835" w:type="dxa"/>
          </w:tcPr>
          <w:p w14:paraId="209EAB48" w14:textId="1720D9E9" w:rsidR="005F69BD" w:rsidRPr="00CE7866" w:rsidRDefault="005F69BD" w:rsidP="00CF2447">
            <w:pPr>
              <w:spacing w:before="60" w:after="60"/>
              <w:rPr>
                <w:sz w:val="20"/>
                <w:szCs w:val="20"/>
              </w:rPr>
            </w:pPr>
            <w:r w:rsidRPr="00CE7866">
              <w:rPr>
                <w:sz w:val="20"/>
                <w:szCs w:val="20"/>
              </w:rPr>
              <w:t>0.2</w:t>
            </w:r>
          </w:p>
        </w:tc>
      </w:tr>
    </w:tbl>
    <w:p w14:paraId="56BA713C" w14:textId="77777777" w:rsidR="007A53BF" w:rsidRPr="002D3769" w:rsidRDefault="007A53BF" w:rsidP="00CE59AA">
      <w:pPr>
        <w:pStyle w:val="Heading2"/>
      </w:pPr>
      <w:bookmarkStart w:id="21" w:name="_Toc300761892"/>
      <w:bookmarkStart w:id="22" w:name="_Toc300933421"/>
      <w:bookmarkStart w:id="23" w:name="_Toc370223467"/>
      <w:bookmarkStart w:id="24" w:name="_Toc475101744"/>
      <w:r w:rsidRPr="007A53BF">
        <w:t>1.3</w:t>
      </w:r>
      <w:r w:rsidRPr="007A53BF">
        <w:tab/>
        <w:t>The current Standard</w:t>
      </w:r>
      <w:bookmarkEnd w:id="21"/>
      <w:bookmarkEnd w:id="22"/>
      <w:bookmarkEnd w:id="23"/>
      <w:bookmarkEnd w:id="24"/>
    </w:p>
    <w:p w14:paraId="7D9FD0C5" w14:textId="24280F85" w:rsidR="004B2C4B" w:rsidRDefault="00145763" w:rsidP="007A53BF">
      <w:r>
        <w:t>Schedule 20 – Maximum residu</w:t>
      </w:r>
      <w:r w:rsidR="00CF2447">
        <w:t>e limits is an Australia</w:t>
      </w:r>
      <w:r w:rsidR="00D3472F">
        <w:t xml:space="preserve"> only S</w:t>
      </w:r>
      <w:r>
        <w:t xml:space="preserve">tandard. </w:t>
      </w:r>
      <w:proofErr w:type="gramStart"/>
      <w:r w:rsidRPr="00624A55">
        <w:t xml:space="preserve">The table to </w:t>
      </w:r>
      <w:r w:rsidR="00661328">
        <w:t xml:space="preserve">section </w:t>
      </w:r>
      <w:r w:rsidRPr="00624A55">
        <w:t xml:space="preserve">S20—3 lists the </w:t>
      </w:r>
      <w:r>
        <w:t xml:space="preserve">MRLs </w:t>
      </w:r>
      <w:r w:rsidRPr="00624A55">
        <w:t xml:space="preserve">for </w:t>
      </w:r>
      <w:r>
        <w:t>agricultural and veterinary (</w:t>
      </w:r>
      <w:r w:rsidRPr="00624A55">
        <w:t>agvet</w:t>
      </w:r>
      <w:r>
        <w:t>)</w:t>
      </w:r>
      <w:r w:rsidRPr="00624A55">
        <w:t xml:space="preserve"> chemical residues which may occur in foods.</w:t>
      </w:r>
      <w:proofErr w:type="gramEnd"/>
      <w:r w:rsidRPr="00624A55">
        <w:t xml:space="preserve"> Limits prescribed in the Code constitute a mandatory requirement applying to all food products of a particular class, whether produced domestically or imported. Food products with residues exceeding the relevant limit listed in the Code cannot legally be sold in Australia. This ensures that residues of agvet chemicals in food are kept as low as possible, are consistent with the approved use</w:t>
      </w:r>
      <w:r>
        <w:t>s</w:t>
      </w:r>
      <w:r w:rsidRPr="00624A55">
        <w:t xml:space="preserve"> of chemical products to control pests and diseases of plants and animals, and are at levels that have been assessed as being safe for human consumption.</w:t>
      </w:r>
    </w:p>
    <w:p w14:paraId="1A05C57D" w14:textId="77777777" w:rsidR="004B2C4B" w:rsidRDefault="004B2C4B" w:rsidP="007A53BF"/>
    <w:p w14:paraId="2E142142" w14:textId="18CBC1B7" w:rsidR="00145763" w:rsidRDefault="004B2C4B" w:rsidP="007A53BF">
      <w:r>
        <w:t>Avilamycin</w:t>
      </w:r>
      <w:r w:rsidRPr="00624A55">
        <w:t xml:space="preserve"> currently has permissions</w:t>
      </w:r>
      <w:r>
        <w:t xml:space="preserve"> for both domestically produced and imported food</w:t>
      </w:r>
      <w:r w:rsidRPr="00624A55">
        <w:t xml:space="preserve"> in the table to </w:t>
      </w:r>
      <w:r w:rsidR="00661328">
        <w:t xml:space="preserve">section </w:t>
      </w:r>
      <w:r w:rsidRPr="00624A55">
        <w:t>S20—3 for poultry commodities only</w:t>
      </w:r>
      <w:r w:rsidR="00C610A7">
        <w:rPr>
          <w:rStyle w:val="FootnoteReference"/>
        </w:rPr>
        <w:footnoteReference w:id="3"/>
      </w:r>
      <w:r w:rsidRPr="00624A55">
        <w:t xml:space="preserve">. </w:t>
      </w:r>
      <w:r>
        <w:t>N</w:t>
      </w:r>
      <w:r w:rsidRPr="00624A55">
        <w:t xml:space="preserve">o MRLs </w:t>
      </w:r>
      <w:r>
        <w:t xml:space="preserve">are </w:t>
      </w:r>
      <w:r w:rsidRPr="00624A55">
        <w:t>listed for pig commodities</w:t>
      </w:r>
      <w:r>
        <w:t>.</w:t>
      </w:r>
    </w:p>
    <w:p w14:paraId="7BA762D6" w14:textId="77777777" w:rsidR="00CF2447" w:rsidRDefault="00CF2447" w:rsidP="004B2C4B">
      <w:pPr>
        <w:pStyle w:val="Heading3"/>
      </w:pPr>
      <w:bookmarkStart w:id="25" w:name="_Toc465941557"/>
      <w:bookmarkStart w:id="26" w:name="_Toc475101745"/>
      <w:r>
        <w:br w:type="page"/>
      </w:r>
    </w:p>
    <w:p w14:paraId="21253EB2" w14:textId="579B4B5F" w:rsidR="004B2C4B" w:rsidRPr="00845B1B" w:rsidRDefault="004B2C4B" w:rsidP="004B2C4B">
      <w:pPr>
        <w:pStyle w:val="Heading3"/>
      </w:pPr>
      <w:r w:rsidRPr="00FF540D">
        <w:lastRenderedPageBreak/>
        <w:t>1.3.1</w:t>
      </w:r>
      <w:r>
        <w:tab/>
      </w:r>
      <w:r w:rsidR="00D3472F">
        <w:t>National and International S</w:t>
      </w:r>
      <w:r w:rsidRPr="00FF540D">
        <w:t>tandards</w:t>
      </w:r>
      <w:bookmarkEnd w:id="25"/>
      <w:bookmarkEnd w:id="26"/>
    </w:p>
    <w:p w14:paraId="2B085ADC" w14:textId="302BB611" w:rsidR="00000834" w:rsidRDefault="00A01E93" w:rsidP="00153F25">
      <w:r>
        <w:t xml:space="preserve">In 1999, </w:t>
      </w:r>
      <w:r w:rsidR="00CF2447">
        <w:t>a</w:t>
      </w:r>
      <w:r w:rsidR="004B2C4B">
        <w:t xml:space="preserve">vilamycin </w:t>
      </w:r>
      <w:r>
        <w:t xml:space="preserve">was </w:t>
      </w:r>
      <w:hyperlink r:id="rId19" w:history="1">
        <w:r w:rsidR="004B2C4B">
          <w:rPr>
            <w:rStyle w:val="Hyperlink"/>
          </w:rPr>
          <w:t>permitted for use</w:t>
        </w:r>
      </w:hyperlink>
      <w:r w:rsidR="004B2C4B">
        <w:rPr>
          <w:rStyle w:val="FootnoteReference"/>
        </w:rPr>
        <w:footnoteReference w:id="4"/>
      </w:r>
      <w:r w:rsidR="004B2C4B" w:rsidRPr="00624A55">
        <w:t xml:space="preserve"> in Australia by the APVMA to increase weight gain and improve feed efficiency in broiler chickens</w:t>
      </w:r>
      <w:r w:rsidR="004B2C4B">
        <w:rPr>
          <w:rStyle w:val="FootnoteReference"/>
        </w:rPr>
        <w:footnoteReference w:id="5"/>
      </w:r>
      <w:r w:rsidR="002C292A">
        <w:t xml:space="preserve"> only</w:t>
      </w:r>
      <w:r w:rsidR="00153F25">
        <w:t>. The</w:t>
      </w:r>
      <w:r w:rsidR="00FF4276">
        <w:t>re are</w:t>
      </w:r>
      <w:r w:rsidR="00153F25">
        <w:t xml:space="preserve"> currently no permissions in the APVMA MRL Standard for the use of avilamycin in pig production.  However, a</w:t>
      </w:r>
      <w:r w:rsidR="00000834">
        <w:t>n</w:t>
      </w:r>
      <w:r w:rsidR="00143EDA">
        <w:t xml:space="preserve"> APVMA</w:t>
      </w:r>
      <w:r w:rsidR="00000834">
        <w:t xml:space="preserve"> assessment for a research permit application in 2003 recommended the establishment of avilamycin MRLs (as per the current</w:t>
      </w:r>
      <w:r w:rsidR="00153F25">
        <w:t xml:space="preserve"> poultry</w:t>
      </w:r>
      <w:r w:rsidR="00000834">
        <w:t xml:space="preserve"> residue definition) for pig meat and </w:t>
      </w:r>
      <w:r w:rsidR="00153F25">
        <w:t>offal. T</w:t>
      </w:r>
      <w:r w:rsidR="00000834">
        <w:t xml:space="preserve">his permit was only issued until February 2005. </w:t>
      </w:r>
      <w:r w:rsidR="00143EDA">
        <w:t>Since 2005, n</w:t>
      </w:r>
      <w:r w:rsidR="00000834">
        <w:t xml:space="preserve">o further </w:t>
      </w:r>
      <w:r w:rsidR="00143EDA">
        <w:t xml:space="preserve">uses of avilamycin </w:t>
      </w:r>
      <w:r w:rsidR="0091711F">
        <w:t>have been</w:t>
      </w:r>
      <w:r w:rsidR="00143EDA">
        <w:t xml:space="preserve"> considered and as there was no approved use of avilamycin in pigs in Australia</w:t>
      </w:r>
      <w:r w:rsidR="000F16A6">
        <w:t xml:space="preserve"> </w:t>
      </w:r>
      <w:r w:rsidR="003C1E9B">
        <w:t xml:space="preserve">after </w:t>
      </w:r>
      <w:r w:rsidR="000F16A6">
        <w:t>2005</w:t>
      </w:r>
      <w:r w:rsidR="00143EDA">
        <w:t xml:space="preserve">, the MRLs in the APVMA MRL Standard and the Code were </w:t>
      </w:r>
      <w:r>
        <w:t>consequently</w:t>
      </w:r>
      <w:r w:rsidR="00000834">
        <w:t xml:space="preserve"> removed.</w:t>
      </w:r>
    </w:p>
    <w:p w14:paraId="5CAB5D00" w14:textId="77777777" w:rsidR="00000834" w:rsidRDefault="00000834" w:rsidP="004B2C4B"/>
    <w:p w14:paraId="46CC5FD4" w14:textId="256AC136" w:rsidR="004B2C4B" w:rsidRPr="009044D7" w:rsidRDefault="00E65009" w:rsidP="004B2C4B">
      <w:r>
        <w:t xml:space="preserve">More recently, </w:t>
      </w:r>
      <w:r w:rsidR="00FF4276">
        <w:t xml:space="preserve">the </w:t>
      </w:r>
      <w:hyperlink r:id="rId20" w:history="1">
        <w:r w:rsidR="00FF4276" w:rsidRPr="00153F25">
          <w:rPr>
            <w:rStyle w:val="Hyperlink"/>
          </w:rPr>
          <w:t>European Medicines Agency, Committee for Medicinal Products for Veterinary Use</w:t>
        </w:r>
      </w:hyperlink>
      <w:r w:rsidR="00FF4276">
        <w:rPr>
          <w:rStyle w:val="FootnoteReference"/>
        </w:rPr>
        <w:footnoteReference w:id="6"/>
      </w:r>
      <w:r w:rsidR="00FF4276">
        <w:t xml:space="preserve"> recommended the inclusion of MRLs for avilamycin in pig commodities </w:t>
      </w:r>
      <w:r w:rsidR="00FF4276" w:rsidRPr="00153F25">
        <w:t>in Annex I of Council Regulation (EEC) No. 2377/90</w:t>
      </w:r>
      <w:r w:rsidR="00FF4276">
        <w:t xml:space="preserve"> in 2007.</w:t>
      </w:r>
      <w:r w:rsidR="00C1380C">
        <w:t xml:space="preserve"> </w:t>
      </w:r>
      <w:r w:rsidR="004B2C4B" w:rsidRPr="009044D7">
        <w:t>MRLs for avilamycin for pig and poultry commodities were</w:t>
      </w:r>
      <w:r w:rsidR="00FF4276">
        <w:t xml:space="preserve"> also</w:t>
      </w:r>
      <w:r w:rsidR="004B2C4B" w:rsidRPr="009044D7">
        <w:t xml:space="preserve"> adopted by Codex in 2009 based on data </w:t>
      </w:r>
      <w:r w:rsidR="004B2C4B">
        <w:t>assessed in</w:t>
      </w:r>
      <w:r w:rsidR="004B2C4B" w:rsidRPr="009044D7">
        <w:t xml:space="preserve"> the </w:t>
      </w:r>
      <w:hyperlink r:id="rId21" w:history="1">
        <w:r w:rsidR="004B2C4B" w:rsidRPr="003661F3">
          <w:rPr>
            <w:rStyle w:val="Hyperlink"/>
          </w:rPr>
          <w:t xml:space="preserve">Joint </w:t>
        </w:r>
        <w:r w:rsidR="004B2C4B">
          <w:rPr>
            <w:rStyle w:val="Hyperlink"/>
          </w:rPr>
          <w:t xml:space="preserve">Expert </w:t>
        </w:r>
        <w:r w:rsidR="004B2C4B" w:rsidRPr="003661F3">
          <w:rPr>
            <w:rStyle w:val="Hyperlink"/>
          </w:rPr>
          <w:t>Committee on Food Additives (JECFA) evaluation</w:t>
        </w:r>
      </w:hyperlink>
      <w:r w:rsidR="004B2C4B">
        <w:rPr>
          <w:rStyle w:val="FootnoteReference"/>
        </w:rPr>
        <w:footnoteReference w:id="7"/>
      </w:r>
      <w:r w:rsidR="004B2C4B">
        <w:t>.</w:t>
      </w:r>
      <w:r w:rsidR="00153F25">
        <w:t xml:space="preserve"> </w:t>
      </w:r>
    </w:p>
    <w:p w14:paraId="298525C1" w14:textId="77777777" w:rsidR="004B2C4B" w:rsidRPr="009044D7" w:rsidRDefault="004B2C4B" w:rsidP="004B2C4B"/>
    <w:p w14:paraId="74061981" w14:textId="3FD78B6C" w:rsidR="004B2C4B" w:rsidRDefault="004B2C4B" w:rsidP="004B2C4B">
      <w:r w:rsidRPr="009044D7">
        <w:t>In May 2015, the US Food and Drug Administration approved for use in swine</w:t>
      </w:r>
      <w:r>
        <w:rPr>
          <w:rStyle w:val="FootnoteReference"/>
        </w:rPr>
        <w:footnoteReference w:id="8"/>
      </w:r>
      <w:r w:rsidRPr="009044D7">
        <w:t>, a veterinary medicine Kavault</w:t>
      </w:r>
      <w:r w:rsidRPr="009044D7">
        <w:rPr>
          <w:rFonts w:cs="Arial"/>
        </w:rPr>
        <w:t>®</w:t>
      </w:r>
      <w:r w:rsidRPr="009044D7">
        <w:t xml:space="preserve"> (NADA 141-438)</w:t>
      </w:r>
      <w:r>
        <w:rPr>
          <w:rStyle w:val="FootnoteReference"/>
        </w:rPr>
        <w:footnoteReference w:id="9"/>
      </w:r>
      <w:r w:rsidRPr="009044D7">
        <w:t xml:space="preserve"> containing th</w:t>
      </w:r>
      <w:r w:rsidR="00957692">
        <w:t>e active ingredient avilamycin.</w:t>
      </w:r>
      <w:r w:rsidR="00153F25">
        <w:t xml:space="preserve"> </w:t>
      </w:r>
      <w:r w:rsidR="00E65009">
        <w:t xml:space="preserve">Following the USFDA approval of </w:t>
      </w:r>
      <w:r w:rsidR="00E65009" w:rsidRPr="009044D7">
        <w:t>Kavault</w:t>
      </w:r>
      <w:r w:rsidR="00E65009" w:rsidRPr="009044D7">
        <w:rPr>
          <w:rFonts w:cs="Arial"/>
        </w:rPr>
        <w:t>®</w:t>
      </w:r>
      <w:r w:rsidR="00E65009">
        <w:t xml:space="preserve">, </w:t>
      </w:r>
      <w:r w:rsidRPr="009044D7">
        <w:t xml:space="preserve">Elanco Animal Health </w:t>
      </w:r>
      <w:r w:rsidR="00E65009">
        <w:t xml:space="preserve">submitted an application requesting FSANZ consider varying Schedule 20 to harmonise </w:t>
      </w:r>
      <w:r w:rsidR="00280C66">
        <w:t xml:space="preserve">avilamycin </w:t>
      </w:r>
      <w:r w:rsidR="00E65009">
        <w:t>MRLs</w:t>
      </w:r>
      <w:r w:rsidRPr="009044D7">
        <w:t xml:space="preserve"> for pig commodities</w:t>
      </w:r>
      <w:r w:rsidR="00E65009">
        <w:t xml:space="preserve"> with Codex.</w:t>
      </w:r>
      <w:r w:rsidRPr="009044D7">
        <w:t xml:space="preserve"> </w:t>
      </w:r>
      <w:r w:rsidR="00CA3382">
        <w:t xml:space="preserve">FSANZ acknowledged the request to harmonise with Codex MRLs for the same parent compound (avilamycin), however noted </w:t>
      </w:r>
      <w:r w:rsidR="002405A4">
        <w:t>Codex</w:t>
      </w:r>
      <w:r w:rsidR="003B31D2">
        <w:t xml:space="preserve"> </w:t>
      </w:r>
      <w:r w:rsidR="00CA3382">
        <w:t>MRLs for pig commodities were permitted using a different residue marker</w:t>
      </w:r>
      <w:r w:rsidR="00CA3382">
        <w:rPr>
          <w:rStyle w:val="FootnoteReference"/>
        </w:rPr>
        <w:footnoteReference w:id="10"/>
      </w:r>
      <w:r w:rsidR="00CA3382">
        <w:t xml:space="preserve"> to existing poultry MRLs </w:t>
      </w:r>
      <w:r w:rsidR="003B31D2">
        <w:t xml:space="preserve">for the same chemical </w:t>
      </w:r>
      <w:r w:rsidR="00CA3382">
        <w:t>currentl</w:t>
      </w:r>
      <w:r w:rsidR="0037390B">
        <w:t xml:space="preserve">y listed in the table to </w:t>
      </w:r>
      <w:r w:rsidR="00661328">
        <w:t xml:space="preserve">section </w:t>
      </w:r>
      <w:r w:rsidR="0037390B">
        <w:t>S20—3.</w:t>
      </w:r>
      <w:r w:rsidR="00D45C38">
        <w:t xml:space="preserve"> </w:t>
      </w:r>
    </w:p>
    <w:p w14:paraId="3B97A0DB" w14:textId="21C2B45B" w:rsidR="007A53BF" w:rsidRPr="007A53BF" w:rsidRDefault="007A53BF" w:rsidP="00CE59AA">
      <w:pPr>
        <w:pStyle w:val="Heading2"/>
        <w:rPr>
          <w:u w:color="FFFF00"/>
        </w:rPr>
      </w:pPr>
      <w:bookmarkStart w:id="27" w:name="_Toc286391007"/>
      <w:bookmarkStart w:id="28" w:name="_Toc300933423"/>
      <w:bookmarkStart w:id="29" w:name="_Toc370223468"/>
      <w:bookmarkStart w:id="30" w:name="_Toc475101746"/>
      <w:bookmarkStart w:id="31" w:name="_Toc175381432"/>
      <w:r w:rsidRPr="007A53BF">
        <w:rPr>
          <w:u w:color="FFFF00"/>
        </w:rPr>
        <w:t>1.4</w:t>
      </w:r>
      <w:r w:rsidRPr="007A53BF">
        <w:rPr>
          <w:u w:color="FFFF00"/>
        </w:rPr>
        <w:tab/>
      </w:r>
      <w:r w:rsidRPr="00201CAA">
        <w:rPr>
          <w:u w:color="FFFF00"/>
        </w:rPr>
        <w:t>Reasons for accepting Application</w:t>
      </w:r>
      <w:bookmarkEnd w:id="27"/>
      <w:bookmarkEnd w:id="28"/>
      <w:bookmarkEnd w:id="29"/>
      <w:bookmarkEnd w:id="30"/>
    </w:p>
    <w:bookmarkEnd w:id="31"/>
    <w:p w14:paraId="4302BBAA" w14:textId="6765272D" w:rsidR="007A53BF" w:rsidRPr="00201CAA" w:rsidRDefault="007A53BF" w:rsidP="007A53BF">
      <w:r w:rsidRPr="00201CAA">
        <w:t>The Application was accepted for assessment because</w:t>
      </w:r>
      <w:r w:rsidR="00951A49">
        <w:t xml:space="preserve"> it</w:t>
      </w:r>
      <w:r w:rsidRPr="00201CAA">
        <w:t>:</w:t>
      </w:r>
    </w:p>
    <w:p w14:paraId="5AE634E2" w14:textId="77777777" w:rsidR="007A53BF" w:rsidRPr="00201CAA" w:rsidRDefault="007A53BF" w:rsidP="007A53BF"/>
    <w:p w14:paraId="4C87B0EC" w14:textId="3E59A8EC" w:rsidR="007A53BF" w:rsidRPr="00661328" w:rsidRDefault="007A53BF" w:rsidP="00661328">
      <w:pPr>
        <w:pStyle w:val="FSBullet1"/>
      </w:pPr>
      <w:r w:rsidRPr="00201CAA">
        <w:t>complied with t</w:t>
      </w:r>
      <w:r w:rsidRPr="00661328">
        <w:t>he procedural requirements under subsection 22(2)</w:t>
      </w:r>
    </w:p>
    <w:p w14:paraId="0C9B1A04" w14:textId="1F93250F" w:rsidR="007A53BF" w:rsidRDefault="007A53BF" w:rsidP="00661328">
      <w:pPr>
        <w:pStyle w:val="FSBullet1"/>
      </w:pPr>
      <w:proofErr w:type="gramStart"/>
      <w:r w:rsidRPr="00661328">
        <w:t>warranted</w:t>
      </w:r>
      <w:proofErr w:type="gramEnd"/>
      <w:r w:rsidRPr="00661328">
        <w:t xml:space="preserve"> the v</w:t>
      </w:r>
      <w:r w:rsidRPr="00201CAA">
        <w:t>ariati</w:t>
      </w:r>
      <w:r w:rsidR="00201CAA" w:rsidRPr="00201CAA">
        <w:t>on of a food regulatory measure</w:t>
      </w:r>
      <w:r w:rsidR="00BC7CE3">
        <w:t>.</w:t>
      </w:r>
    </w:p>
    <w:p w14:paraId="326B5C06" w14:textId="77777777" w:rsidR="008A458E" w:rsidRDefault="008A458E" w:rsidP="008A458E">
      <w:pPr>
        <w:pStyle w:val="FSBullet1"/>
        <w:numPr>
          <w:ilvl w:val="0"/>
          <w:numId w:val="0"/>
        </w:numPr>
      </w:pPr>
    </w:p>
    <w:p w14:paraId="11C1C897" w14:textId="589FA198" w:rsidR="00CF2447" w:rsidRDefault="001F43D7" w:rsidP="001F43D7">
      <w:pPr>
        <w:pStyle w:val="FSBullet1"/>
        <w:numPr>
          <w:ilvl w:val="0"/>
          <w:numId w:val="0"/>
        </w:numPr>
      </w:pPr>
      <w:r>
        <w:t>FSANZ and the APVMA have shared responsibilities in relation to MRL</w:t>
      </w:r>
      <w:r w:rsidR="00661328">
        <w:t>-</w:t>
      </w:r>
      <w:r>
        <w:t>setting</w:t>
      </w:r>
      <w:r w:rsidR="00661328">
        <w:t xml:space="preserve">. </w:t>
      </w:r>
      <w:r>
        <w:t xml:space="preserve">FSANZ considers </w:t>
      </w:r>
      <w:r w:rsidRPr="00DD062F">
        <w:t>requests</w:t>
      </w:r>
      <w:r>
        <w:t xml:space="preserve"> to</w:t>
      </w:r>
      <w:r w:rsidRPr="00DD062F">
        <w:t xml:space="preserve"> harmonise</w:t>
      </w:r>
      <w:r>
        <w:t xml:space="preserve"> </w:t>
      </w:r>
      <w:r w:rsidRPr="00DD062F">
        <w:t xml:space="preserve">MRLs </w:t>
      </w:r>
      <w:r>
        <w:t xml:space="preserve">for import purposes </w:t>
      </w:r>
      <w:r w:rsidR="003B31D2">
        <w:t xml:space="preserve">based on those </w:t>
      </w:r>
      <w:r w:rsidRPr="00DD062F">
        <w:t>established by Codex or by a regulatory authority in a recognised jurisdiction</w:t>
      </w:r>
      <w:r>
        <w:t xml:space="preserve"> where the commodity is produced</w:t>
      </w:r>
      <w:r w:rsidR="00951A49">
        <w:t>. This is undertaken</w:t>
      </w:r>
      <w:r w:rsidR="003B31D2">
        <w:t xml:space="preserve"> </w:t>
      </w:r>
      <w:r w:rsidR="0037390B">
        <w:t>in consultation with the APVMA.</w:t>
      </w:r>
      <w:r w:rsidR="00CF2447">
        <w:br w:type="page"/>
      </w:r>
    </w:p>
    <w:p w14:paraId="02AC3E08" w14:textId="77777777" w:rsidR="007A53BF" w:rsidRPr="007A53BF" w:rsidRDefault="007A53BF" w:rsidP="00CE59AA">
      <w:pPr>
        <w:pStyle w:val="Heading2"/>
      </w:pPr>
      <w:bookmarkStart w:id="32" w:name="_Toc370223469"/>
      <w:bookmarkStart w:id="33" w:name="_Toc475101747"/>
      <w:r w:rsidRPr="007A53BF">
        <w:lastRenderedPageBreak/>
        <w:t>1.5</w:t>
      </w:r>
      <w:r w:rsidRPr="007A53BF">
        <w:tab/>
        <w:t>Procedure for assessment</w:t>
      </w:r>
      <w:bookmarkEnd w:id="32"/>
      <w:bookmarkEnd w:id="33"/>
    </w:p>
    <w:p w14:paraId="24D479A5" w14:textId="49DB5BE2" w:rsidR="00AF397D" w:rsidRDefault="00AF397D" w:rsidP="00AF397D">
      <w:r w:rsidRPr="00165258">
        <w:t>The Application was assessed under the General Procedure</w:t>
      </w:r>
      <w:r w:rsidRPr="00932F14">
        <w:t>.</w:t>
      </w:r>
    </w:p>
    <w:p w14:paraId="064B8664" w14:textId="77777777" w:rsidR="00422EC9" w:rsidRDefault="007A53BF" w:rsidP="00422EC9">
      <w:pPr>
        <w:pStyle w:val="Heading2"/>
      </w:pPr>
      <w:bookmarkStart w:id="34" w:name="_Toc475101748"/>
      <w:r>
        <w:t>1</w:t>
      </w:r>
      <w:r w:rsidR="00422EC9">
        <w:t>.6</w:t>
      </w:r>
      <w:r w:rsidR="00422EC9">
        <w:tab/>
      </w:r>
      <w:r w:rsidR="00422EC9" w:rsidRPr="00932F14">
        <w:t>Decision</w:t>
      </w:r>
      <w:bookmarkEnd w:id="34"/>
    </w:p>
    <w:p w14:paraId="1A6F4D79" w14:textId="4B1034C9" w:rsidR="00401ADE" w:rsidRPr="000D56E9" w:rsidRDefault="00422EC9" w:rsidP="002C1A3B">
      <w:r w:rsidRPr="000D56E9">
        <w:t xml:space="preserve">The draft </w:t>
      </w:r>
      <w:r w:rsidR="00E30092" w:rsidRPr="000D56E9">
        <w:t xml:space="preserve">variation </w:t>
      </w:r>
      <w:r w:rsidRPr="000D56E9">
        <w:t>as proposed following assessment was approved without change.</w:t>
      </w:r>
      <w:r w:rsidR="002C1A3B" w:rsidRPr="000D56E9">
        <w:t xml:space="preserve"> The variation takes effect on </w:t>
      </w:r>
      <w:r w:rsidR="000D56E9" w:rsidRPr="000D56E9">
        <w:t xml:space="preserve">gazettal. </w:t>
      </w:r>
      <w:r w:rsidRPr="000D56E9">
        <w:t xml:space="preserve">The </w:t>
      </w:r>
      <w:r w:rsidR="002C1A3B" w:rsidRPr="000D56E9">
        <w:t xml:space="preserve">approved </w:t>
      </w:r>
      <w:r w:rsidRPr="000D56E9">
        <w:t xml:space="preserve">draft </w:t>
      </w:r>
      <w:r w:rsidR="00E30092" w:rsidRPr="000D56E9">
        <w:t>variation</w:t>
      </w:r>
      <w:r w:rsidRPr="000D56E9">
        <w:t xml:space="preserve"> </w:t>
      </w:r>
      <w:r w:rsidR="005E06C0" w:rsidRPr="000D56E9">
        <w:t xml:space="preserve">is </w:t>
      </w:r>
      <w:r w:rsidRPr="000D56E9">
        <w:t>at Attachment A.</w:t>
      </w:r>
    </w:p>
    <w:p w14:paraId="3AFBD5B4" w14:textId="77777777" w:rsidR="00401ADE" w:rsidRDefault="00401ADE" w:rsidP="00401ADE"/>
    <w:p w14:paraId="4FC65F70" w14:textId="102C7AAC" w:rsidR="002C1A3B" w:rsidRDefault="005E06C0" w:rsidP="002C1A3B">
      <w:r>
        <w:t xml:space="preserve">The </w:t>
      </w:r>
      <w:r w:rsidR="00401ADE">
        <w:t xml:space="preserve">related explanatory statement </w:t>
      </w:r>
      <w:r w:rsidR="00957692">
        <w:t>is at Attachment B.</w:t>
      </w:r>
      <w:r w:rsidR="00661328">
        <w:t xml:space="preserve">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957692">
        <w:t>.</w:t>
      </w:r>
    </w:p>
    <w:p w14:paraId="5CAC3011" w14:textId="77777777" w:rsidR="0012388D" w:rsidRDefault="007A53BF" w:rsidP="00755F02">
      <w:pPr>
        <w:pStyle w:val="Heading1"/>
      </w:pPr>
      <w:bookmarkStart w:id="35" w:name="_Toc475101749"/>
      <w:bookmarkStart w:id="36" w:name="_Toc11735630"/>
      <w:bookmarkStart w:id="37" w:name="_Toc29883114"/>
      <w:bookmarkStart w:id="38" w:name="_Toc41906801"/>
      <w:bookmarkStart w:id="39" w:name="_Toc41907548"/>
      <w:bookmarkStart w:id="40" w:name="_Toc120358578"/>
      <w:bookmarkStart w:id="4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5"/>
    </w:p>
    <w:p w14:paraId="54BCE30D" w14:textId="77777777" w:rsidR="007A53BF" w:rsidRPr="002C1A3B" w:rsidRDefault="007A53BF" w:rsidP="007A53BF">
      <w:pPr>
        <w:pStyle w:val="Heading2"/>
      </w:pPr>
      <w:bookmarkStart w:id="42" w:name="_Toc300933438"/>
      <w:bookmarkStart w:id="43" w:name="_Toc370223471"/>
      <w:bookmarkStart w:id="44" w:name="_Toc370225386"/>
      <w:bookmarkStart w:id="45" w:name="_Toc475101750"/>
      <w:bookmarkStart w:id="46" w:name="_Toc286391009"/>
      <w:bookmarkStart w:id="47" w:name="_Toc300933425"/>
      <w:bookmarkStart w:id="48" w:name="_Toc309291838"/>
      <w:bookmarkStart w:id="49" w:name="_Toc309385455"/>
      <w:bookmarkStart w:id="50" w:name="_Toc120358583"/>
      <w:bookmarkStart w:id="51" w:name="_Toc175381440"/>
      <w:r w:rsidRPr="002C1A3B">
        <w:t>2.1</w:t>
      </w:r>
      <w:r w:rsidRPr="002C1A3B">
        <w:tab/>
        <w:t xml:space="preserve">Summary of issues raised </w:t>
      </w:r>
      <w:bookmarkEnd w:id="42"/>
      <w:r w:rsidRPr="002C1A3B">
        <w:t>in submissions</w:t>
      </w:r>
      <w:bookmarkEnd w:id="43"/>
      <w:bookmarkEnd w:id="44"/>
      <w:bookmarkEnd w:id="45"/>
    </w:p>
    <w:p w14:paraId="6206E0B8" w14:textId="49392AA1" w:rsidR="004659BD" w:rsidRDefault="004659BD" w:rsidP="004659BD">
      <w:r>
        <w:t>Consult</w:t>
      </w:r>
      <w:r w:rsidR="00B43CAD">
        <w:t>ation is a key part of FSANZ’s S</w:t>
      </w:r>
      <w:r>
        <w:t>tandards development process and FSANZ sought public comment to help finalise the assessment of the proposed MRLs. Comments were invited on any impacts on importing food and any public health and safety considerations associated wi</w:t>
      </w:r>
      <w:r w:rsidR="0037390B">
        <w:t>th the proposed MRL variations.</w:t>
      </w:r>
    </w:p>
    <w:p w14:paraId="3CE7D813" w14:textId="77777777" w:rsidR="004659BD" w:rsidRDefault="004659BD" w:rsidP="004659BD"/>
    <w:p w14:paraId="655154A8" w14:textId="7010C433" w:rsidR="004659BD" w:rsidRDefault="004659BD" w:rsidP="004659BD">
      <w:r>
        <w:t xml:space="preserve">FSANZ received </w:t>
      </w:r>
      <w:r w:rsidR="00CF2447">
        <w:t>a</w:t>
      </w:r>
      <w:r w:rsidR="00A26AA1" w:rsidRPr="004D193C">
        <w:t xml:space="preserve"> submission</w:t>
      </w:r>
      <w:r w:rsidRPr="004D193C">
        <w:t xml:space="preserve"> </w:t>
      </w:r>
      <w:r>
        <w:t xml:space="preserve">from Queensland Health </w:t>
      </w:r>
      <w:r w:rsidR="009967ED">
        <w:t xml:space="preserve">which included comments from </w:t>
      </w:r>
      <w:r>
        <w:t>Safe Food Production Queensland</w:t>
      </w:r>
      <w:r w:rsidR="009967ED">
        <w:t>. FSANZ also received</w:t>
      </w:r>
      <w:r>
        <w:t xml:space="preserve"> </w:t>
      </w:r>
      <w:r w:rsidR="00661328">
        <w:t>late comments</w:t>
      </w:r>
      <w:r w:rsidR="00A26AA1">
        <w:t xml:space="preserve"> from</w:t>
      </w:r>
      <w:r w:rsidR="00F97C93">
        <w:t xml:space="preserve"> the Victorian Department of Health and Human Services and</w:t>
      </w:r>
      <w:r w:rsidR="00A26AA1">
        <w:t xml:space="preserve"> </w:t>
      </w:r>
      <w:r>
        <w:t>the</w:t>
      </w:r>
      <w:r w:rsidR="00A26AA1">
        <w:t xml:space="preserve"> </w:t>
      </w:r>
      <w:r>
        <w:t xml:space="preserve">Victorian Department of Economic Development, Jobs, Transport and Resources. </w:t>
      </w:r>
      <w:r w:rsidR="00661328">
        <w:t xml:space="preserve">A </w:t>
      </w:r>
      <w:r>
        <w:t>summary of the issues raised and FSANZ’s response are provided in T</w:t>
      </w:r>
      <w:r w:rsidR="008F4F6F">
        <w:t>able 2</w:t>
      </w:r>
      <w:r>
        <w:t>.</w:t>
      </w:r>
      <w:r w:rsidR="00661328">
        <w:t xml:space="preserve"> The issues raised by Victoria have been i</w:t>
      </w:r>
      <w:r w:rsidR="008F4F6F">
        <w:t>ncluded in Table 2</w:t>
      </w:r>
      <w:r w:rsidR="00661328">
        <w:t xml:space="preserve"> for ease of reference.</w:t>
      </w:r>
    </w:p>
    <w:p w14:paraId="54042CAF" w14:textId="77777777" w:rsidR="004659BD" w:rsidRDefault="004659BD" w:rsidP="004659BD"/>
    <w:p w14:paraId="6D5F529F" w14:textId="00F00B18" w:rsidR="007A53BF" w:rsidRDefault="007A53BF" w:rsidP="004659BD">
      <w:pPr>
        <w:pStyle w:val="FSTableTitle"/>
      </w:pPr>
      <w:r>
        <w:t>T</w:t>
      </w:r>
      <w:r w:rsidR="008F4F6F">
        <w:t>able 2</w:t>
      </w:r>
      <w:r w:rsidR="00957692">
        <w:t>: Summary of issues</w:t>
      </w:r>
    </w:p>
    <w:p w14:paraId="394E06DF" w14:textId="77777777" w:rsidR="00F34E4C" w:rsidRDefault="00F34E4C" w:rsidP="007A53BF"/>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ummary of issues raised in submissions"/>
        <w:tblDescription w:val="This table outlines FSANZ responses to issues raised in submissions submitted by Queensland Health and SafeFood Production Queensland and Victorian Department of Health and Human Services, the Victorian Department of Economic Development, Jobs, Transport and Resources. Issues raised included, has the APVMA approved avilamycin for the treatment of pigs? Possible negative impacts on local producers and the pork industry due to the competitive advantage gained by overseas markers where avilamycin is permitted for use, How compliance of imported product with the proposed MRLs will be monitored at the border, Dietary exposure for the proposed MRLs does not take into account if avilamycin was permitted for use by Australian pig farmers, the purpose for which avilamycin has been approved for use in pigs/pig production in the USA and lack of reference to the National Antimicrobial Resistance Strategy 2015-19."/>
      </w:tblPr>
      <w:tblGrid>
        <w:gridCol w:w="1908"/>
        <w:gridCol w:w="1820"/>
        <w:gridCol w:w="5344"/>
      </w:tblGrid>
      <w:tr w:rsidR="007A53BF" w14:paraId="59E8839B" w14:textId="77777777" w:rsidTr="00CF24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tcPr>
          <w:p w14:paraId="583B0D09" w14:textId="77777777" w:rsidR="007A53BF" w:rsidRPr="008C4E76" w:rsidRDefault="007A53BF" w:rsidP="008C4E76">
            <w:pPr>
              <w:pStyle w:val="FSTableHeading"/>
              <w:rPr>
                <w:b/>
              </w:rPr>
            </w:pPr>
            <w:r w:rsidRPr="008C4E76">
              <w:rPr>
                <w:b/>
              </w:rPr>
              <w:t>Issue</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6C6FE61D" w14:textId="77777777" w:rsidR="007A53BF" w:rsidRPr="008C4E76" w:rsidRDefault="007A53BF" w:rsidP="008C4E76">
            <w:pPr>
              <w:pStyle w:val="FSTableHeading"/>
              <w:rPr>
                <w:b/>
              </w:rPr>
            </w:pPr>
            <w:r w:rsidRPr="008C4E76">
              <w:rPr>
                <w:b/>
              </w:rPr>
              <w:t>Raised by</w:t>
            </w:r>
          </w:p>
        </w:tc>
        <w:tc>
          <w:tcPr>
            <w:tcW w:w="9781" w:type="dxa"/>
            <w:tcBorders>
              <w:top w:val="none" w:sz="0" w:space="0" w:color="auto"/>
              <w:left w:val="none" w:sz="0" w:space="0" w:color="auto"/>
              <w:bottom w:val="none" w:sz="0" w:space="0" w:color="auto"/>
              <w:right w:val="none" w:sz="0" w:space="0" w:color="auto"/>
            </w:tcBorders>
          </w:tcPr>
          <w:p w14:paraId="1BDBCA31" w14:textId="4CB38751" w:rsidR="001D43F6" w:rsidRPr="008C4E76" w:rsidRDefault="007A53BF" w:rsidP="007653A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7A53BF" w14:paraId="36A7CAA0" w14:textId="77777777" w:rsidTr="00CF24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14:paraId="480DA7ED" w14:textId="04F1AFE9" w:rsidR="007A53BF" w:rsidRPr="008410C0" w:rsidRDefault="003D4F04" w:rsidP="00044F3A">
            <w:pPr>
              <w:pStyle w:val="FSTableText"/>
              <w:ind w:left="113" w:hanging="113"/>
              <w:rPr>
                <w:b w:val="0"/>
              </w:rPr>
            </w:pPr>
            <w:r>
              <w:rPr>
                <w:b w:val="0"/>
              </w:rPr>
              <w:t>T</w:t>
            </w:r>
            <w:r w:rsidR="00CA78FC">
              <w:rPr>
                <w:b w:val="0"/>
              </w:rPr>
              <w:t>he</w:t>
            </w:r>
            <w:r w:rsidR="00FB5450" w:rsidRPr="008410C0">
              <w:rPr>
                <w:b w:val="0"/>
              </w:rPr>
              <w:t xml:space="preserve"> APVMA has not approved avilamycin for use in the treatment of pigs</w:t>
            </w:r>
            <w:r w:rsidR="00DA0E04">
              <w:rPr>
                <w:b w:val="0"/>
              </w:rPr>
              <w:t xml:space="preserve"> in Australia.</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single" w:sz="4" w:space="0" w:color="auto"/>
              <w:right w:val="none" w:sz="0" w:space="0" w:color="auto"/>
            </w:tcBorders>
          </w:tcPr>
          <w:p w14:paraId="36C78D5D" w14:textId="24208EA9" w:rsidR="004659BD" w:rsidRDefault="00F34E4C" w:rsidP="00044F3A">
            <w:pPr>
              <w:pStyle w:val="FSTableText"/>
              <w:ind w:left="113" w:hanging="113"/>
            </w:pPr>
            <w:r>
              <w:t xml:space="preserve">Queensland Health and </w:t>
            </w:r>
            <w:r w:rsidR="00FB5450">
              <w:t>Safe F</w:t>
            </w:r>
            <w:r w:rsidR="004659BD">
              <w:t>ood Production Queensland</w:t>
            </w:r>
            <w:r w:rsidR="00661328">
              <w:t xml:space="preserve"> (Qld)</w:t>
            </w:r>
          </w:p>
          <w:p w14:paraId="7745BCBE" w14:textId="77777777" w:rsidR="004659BD" w:rsidRDefault="004659BD" w:rsidP="00044F3A">
            <w:pPr>
              <w:pStyle w:val="FSTableText"/>
              <w:ind w:left="113" w:hanging="113"/>
            </w:pPr>
          </w:p>
          <w:p w14:paraId="08B8C5D9" w14:textId="77777777" w:rsidR="004659BD" w:rsidRDefault="004659BD" w:rsidP="00044F3A">
            <w:pPr>
              <w:pStyle w:val="FSTableText"/>
              <w:ind w:left="113" w:hanging="113"/>
            </w:pPr>
            <w:r>
              <w:t>Victorian Department of Health and Human Services, the</w:t>
            </w:r>
          </w:p>
          <w:p w14:paraId="4EF00809" w14:textId="0594D6EA" w:rsidR="007A53BF" w:rsidRPr="000778D6" w:rsidRDefault="004659BD" w:rsidP="00044F3A">
            <w:pPr>
              <w:pStyle w:val="FSTableText"/>
              <w:ind w:left="113" w:hanging="113"/>
            </w:pPr>
            <w:r>
              <w:t>Victorian Department of Economic Development, Jobs, Transport and Resources</w:t>
            </w:r>
            <w:r w:rsidR="00661328">
              <w:t xml:space="preserve"> (Vic)</w:t>
            </w:r>
          </w:p>
        </w:tc>
        <w:tc>
          <w:tcPr>
            <w:tcW w:w="9781" w:type="dxa"/>
            <w:tcBorders>
              <w:left w:val="none" w:sz="0" w:space="0" w:color="auto"/>
            </w:tcBorders>
          </w:tcPr>
          <w:p w14:paraId="7F3B304E" w14:textId="31D37349" w:rsidR="00E233D2" w:rsidRDefault="003F6D89" w:rsidP="00E233D2">
            <w:pPr>
              <w:pStyle w:val="FSTableText"/>
              <w:ind w:left="113" w:hanging="113"/>
              <w:cnfStyle w:val="000000100000" w:firstRow="0" w:lastRow="0" w:firstColumn="0" w:lastColumn="0" w:oddVBand="0" w:evenVBand="0" w:oddHBand="1" w:evenHBand="0" w:firstRowFirstColumn="0" w:firstRowLastColumn="0" w:lastRowFirstColumn="0" w:lastRowLastColumn="0"/>
            </w:pPr>
            <w:r>
              <w:t>There are currently no registered uses in Australia for avilamycin in the treatment of pigs.</w:t>
            </w:r>
            <w:r w:rsidR="00364F9E">
              <w:t xml:space="preserve"> </w:t>
            </w:r>
            <w:r w:rsidR="00CC0FF3">
              <w:t xml:space="preserve">See section 1.3.1 of the Approval report in regards to APVMA’s previous assessment of avilamycin use in pigs in Australia. </w:t>
            </w:r>
          </w:p>
          <w:p w14:paraId="6FC30BD0" w14:textId="77777777" w:rsidR="00E233D2" w:rsidRDefault="00E233D2" w:rsidP="00044F3A">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699EF84E" w14:textId="77777777" w:rsidR="00E233D2" w:rsidRDefault="00E233D2" w:rsidP="00E233D2">
            <w:pPr>
              <w:pStyle w:val="FSTableText"/>
              <w:ind w:left="113" w:hanging="113"/>
              <w:cnfStyle w:val="000000100000" w:firstRow="0" w:lastRow="0" w:firstColumn="0" w:lastColumn="0" w:oddVBand="0" w:evenVBand="0" w:oddHBand="1" w:evenHBand="0" w:firstRowFirstColumn="0" w:firstRowLastColumn="0" w:lastRowFirstColumn="0" w:lastRowLastColumn="0"/>
            </w:pPr>
            <w:r>
              <w:t>Australian producers are able to make an application to the APVMA to extend the registered uses of avilamycin at any time.</w:t>
            </w:r>
          </w:p>
          <w:p w14:paraId="152A00D1" w14:textId="77777777" w:rsidR="00E233D2" w:rsidRDefault="00E233D2" w:rsidP="00044F3A">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00839C50" w14:textId="7420B8DD" w:rsidR="00195A72" w:rsidRDefault="00195A72" w:rsidP="00195A72">
            <w:pPr>
              <w:pStyle w:val="FSTableText"/>
              <w:ind w:left="113" w:hanging="113"/>
              <w:cnfStyle w:val="000000100000" w:firstRow="0" w:lastRow="0" w:firstColumn="0" w:lastColumn="0" w:oddVBand="0" w:evenVBand="0" w:oddHBand="1" w:evenHBand="0" w:firstRowFirstColumn="0" w:firstRowLastColumn="0" w:lastRowFirstColumn="0" w:lastRowLastColumn="0"/>
              <w:rPr>
                <w:rFonts w:cs="Times New Roman"/>
                <w:sz w:val="22"/>
                <w:szCs w:val="24"/>
              </w:rPr>
            </w:pPr>
            <w:r w:rsidRPr="00DD062F">
              <w:t>FSANZ</w:t>
            </w:r>
            <w:r>
              <w:t xml:space="preserve">’s responsibility is to undertake </w:t>
            </w:r>
            <w:r w:rsidRPr="00DE457C">
              <w:t>dietary exposure assessments of residues in the diet as part of the MRL setting process</w:t>
            </w:r>
            <w:r>
              <w:t xml:space="preserve"> and can also consider </w:t>
            </w:r>
            <w:r w:rsidRPr="00DD062F">
              <w:t>requests</w:t>
            </w:r>
            <w:r>
              <w:t xml:space="preserve"> to</w:t>
            </w:r>
            <w:r w:rsidRPr="00DD062F">
              <w:t xml:space="preserve"> harmonise</w:t>
            </w:r>
            <w:r>
              <w:t xml:space="preserve"> </w:t>
            </w:r>
            <w:r w:rsidRPr="00DD062F">
              <w:t xml:space="preserve">MRLs </w:t>
            </w:r>
            <w:r>
              <w:t xml:space="preserve">for import purposes </w:t>
            </w:r>
            <w:r w:rsidRPr="00DD062F">
              <w:t>established by Codex or by a regulatory authority in a recognised jurisdiction</w:t>
            </w:r>
            <w:r>
              <w:t xml:space="preserve"> where the commodity is produced. During the</w:t>
            </w:r>
            <w:r w:rsidR="000B520E">
              <w:t xml:space="preserve"> risk</w:t>
            </w:r>
            <w:r>
              <w:t xml:space="preserve"> assessment process, FSANZ has regard for the </w:t>
            </w:r>
            <w:r w:rsidRPr="00E111C2">
              <w:t>safety, legitimacy and justification</w:t>
            </w:r>
            <w:r>
              <w:t xml:space="preserve"> for the presence of the residues in food.</w:t>
            </w:r>
            <w:r w:rsidRPr="000C2FB6">
              <w:t xml:space="preserve"> </w:t>
            </w:r>
          </w:p>
          <w:p w14:paraId="37BEDBFD" w14:textId="77777777" w:rsidR="00195A72" w:rsidRDefault="00195A72" w:rsidP="00044F3A">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3ACA0C90" w14:textId="77777777" w:rsidR="00195A72" w:rsidRDefault="00195A72" w:rsidP="00195A72">
            <w:pPr>
              <w:pStyle w:val="FSTableText"/>
              <w:ind w:left="113" w:hanging="113"/>
              <w:cnfStyle w:val="000000100000" w:firstRow="0" w:lastRow="0" w:firstColumn="0" w:lastColumn="0" w:oddVBand="0" w:evenVBand="0" w:oddHBand="1" w:evenHBand="0" w:firstRowFirstColumn="0" w:firstRowLastColumn="0" w:lastRowFirstColumn="0" w:lastRowLastColumn="0"/>
            </w:pPr>
            <w:r>
              <w:t>As with any veterinary chemical request, FSANZ consulted closely with the APVMA in regards to the requested harmonisation of the proposed MRLs and the residue marker. The APVMA did not raise any issues with the proposed MRLs or the residue marker.</w:t>
            </w:r>
          </w:p>
          <w:p w14:paraId="6F05D85D" w14:textId="603E3B6F" w:rsidR="00DA0E04" w:rsidRDefault="00BD3CB2" w:rsidP="00044F3A">
            <w:pPr>
              <w:pStyle w:val="FSTableText"/>
              <w:ind w:left="113" w:hanging="113"/>
              <w:cnfStyle w:val="000000100000" w:firstRow="0" w:lastRow="0" w:firstColumn="0" w:lastColumn="0" w:oddVBand="0" w:evenVBand="0" w:oddHBand="1" w:evenHBand="0" w:firstRowFirstColumn="0" w:firstRowLastColumn="0" w:lastRowFirstColumn="0" w:lastRowLastColumn="0"/>
            </w:pPr>
            <w:r w:rsidRPr="000C2FB6">
              <w:lastRenderedPageBreak/>
              <w:t xml:space="preserve">The Code currently includes several chemicals that have no registered uses in Australia, that is, they are not listed in the APVMA MRL Standard. Similarly, there are commodities listed under many chemicals that have a higher MRL than those in the APVMA MRL </w:t>
            </w:r>
            <w:r w:rsidR="00D3472F">
              <w:t>S</w:t>
            </w:r>
            <w:r w:rsidRPr="000C2FB6">
              <w:t>tandard. The inclusion of MRLs for avilamycin is consistent with the inclusion of these other MRLs in the Code as part of FSANZ’s harmonisation proposals.</w:t>
            </w:r>
            <w:r w:rsidR="001E7ED4">
              <w:t xml:space="preserve"> </w:t>
            </w:r>
          </w:p>
          <w:p w14:paraId="69713269" w14:textId="6B859CBE" w:rsidR="00F15ED2" w:rsidRPr="000778D6" w:rsidRDefault="00F15ED2" w:rsidP="00195A72">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140037" w14:paraId="372E54AF" w14:textId="77777777" w:rsidTr="008F53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237CFCE0" w14:textId="2A27EC68" w:rsidR="00140037" w:rsidRPr="008410C0" w:rsidRDefault="00140037" w:rsidP="00CF2447">
            <w:pPr>
              <w:pStyle w:val="FSTableText"/>
              <w:ind w:left="113" w:hanging="113"/>
              <w:rPr>
                <w:b w:val="0"/>
              </w:rPr>
            </w:pPr>
            <w:r>
              <w:rPr>
                <w:b w:val="0"/>
              </w:rPr>
              <w:lastRenderedPageBreak/>
              <w:t xml:space="preserve">Possible negative impacts on local growers/producers and the pork industry due to the </w:t>
            </w:r>
            <w:r w:rsidR="00171E2B">
              <w:rPr>
                <w:b w:val="0"/>
              </w:rPr>
              <w:t>competitive</w:t>
            </w:r>
            <w:r>
              <w:rPr>
                <w:b w:val="0"/>
              </w:rPr>
              <w:t xml:space="preserve"> advantage gained by overseas markets where avilamycin i</w:t>
            </w:r>
            <w:r w:rsidR="00486664">
              <w:rPr>
                <w:b w:val="0"/>
              </w:rPr>
              <w:t>s permitted for use</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right w:val="single" w:sz="4" w:space="0" w:color="auto"/>
            </w:tcBorders>
            <w:shd w:val="clear" w:color="auto" w:fill="auto"/>
          </w:tcPr>
          <w:p w14:paraId="2ABFBC29" w14:textId="3A058602" w:rsidR="00E2159A" w:rsidRDefault="00E2159A" w:rsidP="00CF2447">
            <w:pPr>
              <w:pStyle w:val="FSTableText"/>
              <w:ind w:left="113" w:hanging="113"/>
            </w:pPr>
            <w:r>
              <w:t>Q</w:t>
            </w:r>
            <w:r w:rsidR="00661328">
              <w:t>ld</w:t>
            </w:r>
          </w:p>
          <w:p w14:paraId="0CFDF56B" w14:textId="77777777" w:rsidR="00140037" w:rsidRDefault="00140037" w:rsidP="00CF2447">
            <w:pPr>
              <w:pStyle w:val="FSTableText"/>
              <w:ind w:left="113" w:hanging="113"/>
            </w:pPr>
          </w:p>
        </w:tc>
        <w:tc>
          <w:tcPr>
            <w:tcW w:w="9781" w:type="dxa"/>
            <w:tcBorders>
              <w:left w:val="single" w:sz="4" w:space="0" w:color="auto"/>
            </w:tcBorders>
          </w:tcPr>
          <w:p w14:paraId="022C5D5A" w14:textId="2D84A5D6" w:rsidR="00101FE6" w:rsidRDefault="00101FE6"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The </w:t>
            </w:r>
            <w:r w:rsidR="00CF2447">
              <w:t>A</w:t>
            </w:r>
            <w:r>
              <w:t>pplicant provided supporting data to demonstrate that the current trade relationship between the US and Australia in pig commodities is expected to continue. There is an avenue for domestic food producers to make an application to the APVMA to extend the registered uses of any agvet chemical, including avilamycin if required.</w:t>
            </w:r>
          </w:p>
          <w:p w14:paraId="666062F1" w14:textId="77777777" w:rsidR="00101FE6" w:rsidRDefault="00101FE6"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23DFAE4C" w14:textId="63B1BB4F" w:rsidR="004170A6" w:rsidRDefault="00B04DBE"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r>
              <w:t>The Application requested harmonisation with the Codex MRL</w:t>
            </w:r>
            <w:r w:rsidR="006B1EB2">
              <w:t>s</w:t>
            </w:r>
            <w:r>
              <w:t xml:space="preserve"> for avilamycin. FSANZ’s MRL harmonisation program ensures that the absence or magnitude of an Australian MRL does not pose a barrier to trade</w:t>
            </w:r>
            <w:r w:rsidR="004170A6">
              <w:t xml:space="preserve"> as</w:t>
            </w:r>
            <w:r w:rsidR="006B1EB2">
              <w:t xml:space="preserve"> is</w:t>
            </w:r>
            <w:r w:rsidR="004170A6">
              <w:t xml:space="preserve"> required to meet Australia’s WTO obligations under the Sanitary and Phytosanitary </w:t>
            </w:r>
            <w:r w:rsidR="006B1EB2">
              <w:t>Agreements</w:t>
            </w:r>
            <w:r>
              <w:t xml:space="preserve">. </w:t>
            </w:r>
          </w:p>
          <w:p w14:paraId="53D4117E" w14:textId="77777777" w:rsidR="004170A6" w:rsidRDefault="004170A6"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3B664C65" w14:textId="34E70F34" w:rsidR="00661328" w:rsidRDefault="00B04DBE"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r>
              <w:t>FSANZ recognises that agricultural and veterinary (agvet) chemicals are used differently in different countries around the world as pests, dise</w:t>
            </w:r>
            <w:r w:rsidR="00BC43F9">
              <w:t>ases and environmental factors vary</w:t>
            </w:r>
            <w:r>
              <w:t xml:space="preserve"> and because o</w:t>
            </w:r>
            <w:r w:rsidR="009516B7">
              <w:t>f this,</w:t>
            </w:r>
            <w:r>
              <w:t xml:space="preserve"> product use patterns may also differ.</w:t>
            </w:r>
            <w:r w:rsidR="006B1EB2">
              <w:t xml:space="preserve"> </w:t>
            </w:r>
            <w:r>
              <w:t>The</w:t>
            </w:r>
            <w:r w:rsidR="004170A6">
              <w:t>refore, the</w:t>
            </w:r>
            <w:r>
              <w:t xml:space="preserve"> </w:t>
            </w:r>
            <w:r w:rsidR="00D07D1B">
              <w:t xml:space="preserve">harmonisation </w:t>
            </w:r>
            <w:r>
              <w:t xml:space="preserve">process </w:t>
            </w:r>
            <w:r w:rsidR="004170A6">
              <w:t xml:space="preserve">is </w:t>
            </w:r>
            <w:r>
              <w:t xml:space="preserve">undertaken in accordance with the </w:t>
            </w:r>
            <w:hyperlink r:id="rId22" w:history="1">
              <w:r w:rsidR="00CF2447">
                <w:rPr>
                  <w:rStyle w:val="Hyperlink"/>
                </w:rPr>
                <w:t>Ministerial Policy Guideline on the Regulation of Residues of Agricultural and Veterinary Chemicals in Food</w:t>
              </w:r>
            </w:hyperlink>
            <w:r w:rsidR="00CF2447">
              <w:t xml:space="preserve"> </w:t>
            </w:r>
            <w:r w:rsidRPr="00CF2447">
              <w:t>(Guideline)</w:t>
            </w:r>
            <w:r w:rsidR="00CF2447">
              <w:rPr>
                <w:rStyle w:val="FootnoteReference"/>
              </w:rPr>
              <w:footnoteReference w:id="11"/>
            </w:r>
            <w:r w:rsidR="00CF2447">
              <w:t>.</w:t>
            </w:r>
          </w:p>
          <w:p w14:paraId="05BCCDC3" w14:textId="01AFB7C8" w:rsidR="00CF2447" w:rsidRPr="00DD062F" w:rsidRDefault="00CF2447" w:rsidP="00CF2447">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4659BD" w14:paraId="083DE5D5" w14:textId="77777777" w:rsidTr="00CF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14:paraId="22E00E98" w14:textId="77777777" w:rsidR="004659BD" w:rsidRDefault="004659BD" w:rsidP="00CF2447">
            <w:pPr>
              <w:pStyle w:val="FSTableText"/>
              <w:ind w:left="113" w:hanging="113"/>
              <w:rPr>
                <w:b w:val="0"/>
              </w:rPr>
            </w:pPr>
            <w:r w:rsidRPr="008410C0">
              <w:rPr>
                <w:b w:val="0"/>
              </w:rPr>
              <w:t>How compliance of imported product with the proposed MRLs will be monitored at the border</w:t>
            </w:r>
          </w:p>
          <w:p w14:paraId="5E1525DA" w14:textId="612B89C8" w:rsidR="00661328" w:rsidRPr="008410C0" w:rsidRDefault="00661328" w:rsidP="00CF2447">
            <w:pPr>
              <w:pStyle w:val="FSTableText"/>
              <w:ind w:left="113" w:hanging="113"/>
              <w:rPr>
                <w:b w:val="0"/>
              </w:rPr>
            </w:pP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6C5A1234" w14:textId="3D70618E" w:rsidR="004659BD" w:rsidRPr="000778D6" w:rsidRDefault="004659BD" w:rsidP="00CF2447">
            <w:pPr>
              <w:pStyle w:val="FSTableText"/>
              <w:ind w:left="113" w:hanging="113"/>
            </w:pPr>
            <w:r w:rsidRPr="00294ED6">
              <w:t>Q</w:t>
            </w:r>
            <w:r w:rsidR="00661328">
              <w:t>ld</w:t>
            </w:r>
          </w:p>
        </w:tc>
        <w:tc>
          <w:tcPr>
            <w:tcW w:w="9781" w:type="dxa"/>
            <w:tcBorders>
              <w:left w:val="none" w:sz="0" w:space="0" w:color="auto"/>
            </w:tcBorders>
          </w:tcPr>
          <w:p w14:paraId="56795850" w14:textId="706BCDCC" w:rsidR="004659BD" w:rsidRPr="000778D6" w:rsidRDefault="007B1F96" w:rsidP="00CF2447">
            <w:pPr>
              <w:pStyle w:val="FSTableText"/>
              <w:ind w:left="113" w:hanging="113"/>
              <w:cnfStyle w:val="000000100000" w:firstRow="0" w:lastRow="0" w:firstColumn="0" w:lastColumn="0" w:oddVBand="0" w:evenVBand="0" w:oddHBand="1" w:evenHBand="0" w:firstRowFirstColumn="0" w:firstRowLastColumn="0" w:lastRowFirstColumn="0" w:lastRowLastColumn="0"/>
            </w:pPr>
            <w:r w:rsidRPr="007B1F96">
              <w:t>While the Code is developed and administered by FSANZ, it is enforced</w:t>
            </w:r>
            <w:r w:rsidR="0079117A">
              <w:t xml:space="preserve"> at the border</w:t>
            </w:r>
            <w:r w:rsidR="00A32FBB">
              <w:t xml:space="preserve"> through</w:t>
            </w:r>
            <w:r w:rsidR="00D07B96">
              <w:t xml:space="preserve"> the</w:t>
            </w:r>
            <w:r w:rsidRPr="007B1F96">
              <w:t xml:space="preserve"> Importe</w:t>
            </w:r>
            <w:r w:rsidR="00A32FBB">
              <w:t>d Food Inspection Scheme by</w:t>
            </w:r>
            <w:r w:rsidRPr="007B1F96">
              <w:t xml:space="preserve"> Australian Department of Agriculture and Water Resources (DAWR).</w:t>
            </w:r>
            <w:r w:rsidR="000C2FB6">
              <w:t xml:space="preserve"> All food imported into Australia must comply with the requirements of the Code. </w:t>
            </w:r>
            <w:r w:rsidR="00AF6A96">
              <w:t>FSANZ is satisfied appropriate testing methodology exists and is available to test for the marker residue DIA.</w:t>
            </w:r>
            <w:r w:rsidR="00556A84">
              <w:t xml:space="preserve"> </w:t>
            </w:r>
          </w:p>
        </w:tc>
      </w:tr>
      <w:tr w:rsidR="004659BD" w14:paraId="1DAA9934" w14:textId="77777777" w:rsidTr="008F53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1" w:type="dxa"/>
            <w:tcBorders>
              <w:right w:val="none" w:sz="0" w:space="0" w:color="auto"/>
            </w:tcBorders>
          </w:tcPr>
          <w:p w14:paraId="49A6DE04" w14:textId="0CD19368" w:rsidR="004659BD" w:rsidRPr="008410C0" w:rsidRDefault="004659BD" w:rsidP="008F531F">
            <w:pPr>
              <w:pStyle w:val="FSTableText"/>
              <w:ind w:left="113" w:hanging="113"/>
              <w:rPr>
                <w:b w:val="0"/>
              </w:rPr>
            </w:pPr>
            <w:r w:rsidRPr="008410C0">
              <w:rPr>
                <w:b w:val="0"/>
              </w:rPr>
              <w:lastRenderedPageBreak/>
              <w:t>Dietary exposure for the proposed MRLs does not take into account if avilamycin was permitted for use by Australian pig farmers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single" w:sz="4" w:space="0" w:color="auto"/>
              <w:right w:val="none" w:sz="0" w:space="0" w:color="auto"/>
            </w:tcBorders>
            <w:shd w:val="clear" w:color="auto" w:fill="auto"/>
          </w:tcPr>
          <w:p w14:paraId="21A01DCA" w14:textId="6BB216E2" w:rsidR="004659BD" w:rsidRPr="000778D6" w:rsidRDefault="004659BD" w:rsidP="008F531F">
            <w:pPr>
              <w:pStyle w:val="FSTableText"/>
              <w:ind w:left="113" w:hanging="113"/>
            </w:pPr>
            <w:r w:rsidRPr="00294ED6">
              <w:t>Q</w:t>
            </w:r>
            <w:r w:rsidR="00661328">
              <w:t>ld</w:t>
            </w:r>
          </w:p>
        </w:tc>
        <w:tc>
          <w:tcPr>
            <w:tcW w:w="9781" w:type="dxa"/>
            <w:tcBorders>
              <w:left w:val="none" w:sz="0" w:space="0" w:color="auto"/>
            </w:tcBorders>
          </w:tcPr>
          <w:p w14:paraId="485B8CF9" w14:textId="77777777" w:rsidR="00AF6A96" w:rsidRDefault="00A9629F" w:rsidP="008F531F">
            <w:pPr>
              <w:pStyle w:val="Default"/>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r w:rsidRPr="00A9629F">
              <w:rPr>
                <w:rFonts w:ascii="Arial" w:hAnsi="Arial" w:cs="Arial"/>
                <w:sz w:val="20"/>
                <w:szCs w:val="20"/>
              </w:rPr>
              <w:t xml:space="preserve">FSANZ conducts and reviews dietary exposure assessments (DEAs) for MRLs using the best available scientific data and internationally recognised risk assessment methodologies. Variations to MRLs in the Code </w:t>
            </w:r>
            <w:r w:rsidR="00FA54E9">
              <w:rPr>
                <w:rFonts w:ascii="Arial" w:hAnsi="Arial" w:cs="Arial"/>
                <w:sz w:val="20"/>
                <w:szCs w:val="20"/>
              </w:rPr>
              <w:t xml:space="preserve">are </w:t>
            </w:r>
            <w:r w:rsidRPr="00A9629F">
              <w:rPr>
                <w:rFonts w:ascii="Arial" w:hAnsi="Arial" w:cs="Arial"/>
                <w:sz w:val="20"/>
                <w:szCs w:val="20"/>
              </w:rPr>
              <w:t xml:space="preserve">supported where estimated dietary exposures to the residues of a chemical indicate </w:t>
            </w:r>
            <w:r w:rsidR="00096D29">
              <w:rPr>
                <w:rFonts w:ascii="Arial" w:hAnsi="Arial" w:cs="Arial"/>
                <w:sz w:val="20"/>
                <w:szCs w:val="20"/>
              </w:rPr>
              <w:t>no</w:t>
            </w:r>
            <w:r w:rsidR="00096D29" w:rsidRPr="00A9629F">
              <w:rPr>
                <w:rFonts w:ascii="Arial" w:hAnsi="Arial" w:cs="Arial"/>
                <w:sz w:val="20"/>
                <w:szCs w:val="20"/>
              </w:rPr>
              <w:t xml:space="preserve"> </w:t>
            </w:r>
            <w:r w:rsidRPr="00A9629F">
              <w:rPr>
                <w:rFonts w:ascii="Arial" w:hAnsi="Arial" w:cs="Arial"/>
                <w:sz w:val="20"/>
                <w:szCs w:val="20"/>
              </w:rPr>
              <w:t xml:space="preserve">potential public health and safety risk for the </w:t>
            </w:r>
            <w:r w:rsidR="00096D29">
              <w:rPr>
                <w:rFonts w:ascii="Arial" w:hAnsi="Arial" w:cs="Arial"/>
                <w:sz w:val="20"/>
                <w:szCs w:val="20"/>
              </w:rPr>
              <w:t xml:space="preserve">Australian </w:t>
            </w:r>
            <w:r w:rsidRPr="00A9629F">
              <w:rPr>
                <w:rFonts w:ascii="Arial" w:hAnsi="Arial" w:cs="Arial"/>
                <w:sz w:val="20"/>
                <w:szCs w:val="20"/>
              </w:rPr>
              <w:t>population or population sub group.</w:t>
            </w:r>
            <w:r w:rsidR="00AF6A96" w:rsidRPr="00A9629F">
              <w:rPr>
                <w:rFonts w:cs="Arial"/>
                <w:sz w:val="20"/>
                <w:szCs w:val="20"/>
              </w:rPr>
              <w:t xml:space="preserve"> </w:t>
            </w:r>
          </w:p>
          <w:p w14:paraId="0050E2CC" w14:textId="77777777" w:rsidR="00AF6A96" w:rsidRDefault="00AF6A96" w:rsidP="008F531F">
            <w:pPr>
              <w:pStyle w:val="Default"/>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26949A50" w14:textId="7B3BFC67" w:rsidR="00A9629F" w:rsidRPr="00A9629F" w:rsidRDefault="00AF6A96" w:rsidP="008F531F">
            <w:pPr>
              <w:pStyle w:val="Default"/>
              <w:ind w:left="113" w:hanging="113"/>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F6A96">
              <w:rPr>
                <w:rFonts w:ascii="Arial" w:hAnsi="Arial" w:cs="Arial"/>
                <w:sz w:val="20"/>
                <w:szCs w:val="20"/>
              </w:rPr>
              <w:t xml:space="preserve">The DEA for A1133 assumed that all pork consumed in Australia would have avilamycin residues at the proposed MRL and did not differentiate between imported and domestically produced pork. </w:t>
            </w:r>
          </w:p>
          <w:p w14:paraId="2DF0AC48" w14:textId="77777777" w:rsidR="00A9629F" w:rsidRPr="00A9629F" w:rsidRDefault="00A9629F" w:rsidP="008F531F">
            <w:pPr>
              <w:ind w:left="113" w:hanging="113"/>
              <w:cnfStyle w:val="000000010000" w:firstRow="0" w:lastRow="0" w:firstColumn="0" w:lastColumn="0" w:oddVBand="0" w:evenVBand="0" w:oddHBand="0" w:evenHBand="1" w:firstRowFirstColumn="0" w:firstRowLastColumn="0" w:lastRowFirstColumn="0" w:lastRowLastColumn="0"/>
              <w:rPr>
                <w:rFonts w:cs="Arial"/>
                <w:sz w:val="20"/>
                <w:szCs w:val="20"/>
              </w:rPr>
            </w:pPr>
          </w:p>
          <w:p w14:paraId="525EFAC5" w14:textId="2A7D3B05" w:rsidR="00D2241B" w:rsidRDefault="00A9629F" w:rsidP="008F531F">
            <w:pPr>
              <w:ind w:left="113" w:hanging="113"/>
              <w:cnfStyle w:val="000000010000" w:firstRow="0" w:lastRow="0" w:firstColumn="0" w:lastColumn="0" w:oddVBand="0" w:evenVBand="0" w:oddHBand="0" w:evenHBand="1" w:firstRowFirstColumn="0" w:firstRowLastColumn="0" w:lastRowFirstColumn="0" w:lastRowLastColumn="0"/>
            </w:pPr>
            <w:r w:rsidRPr="00A9629F">
              <w:rPr>
                <w:rFonts w:cs="Arial"/>
                <w:sz w:val="20"/>
                <w:szCs w:val="20"/>
              </w:rPr>
              <w:t>The estimated dietary exposure for avilamycin used food consumption data from the 1995 National Nutrition Survey as well as consumption data from the most recent 2011-12 National Nutrition and Physical Activity component of the Australian Health Survey. This information is provided in the Supporting Document 1 - Risk assessment – Application A1133. This provides a worse-case estimate of dietary exposure to avilamycin.</w:t>
            </w:r>
            <w:r w:rsidR="009856FA">
              <w:rPr>
                <w:rFonts w:cs="Arial"/>
                <w:sz w:val="20"/>
                <w:szCs w:val="20"/>
              </w:rPr>
              <w:t xml:space="preserve"> If the APVMA were to receive an application for the approval of avilamycin for additional uses in Australia, the APVMA would undertake </w:t>
            </w:r>
            <w:r w:rsidR="00405AED">
              <w:rPr>
                <w:rFonts w:cs="Arial"/>
                <w:sz w:val="20"/>
                <w:szCs w:val="20"/>
              </w:rPr>
              <w:t>an assessment with FSANZ checking and provid</w:t>
            </w:r>
            <w:r w:rsidR="00D235B1">
              <w:rPr>
                <w:rFonts w:cs="Arial"/>
                <w:sz w:val="20"/>
                <w:szCs w:val="20"/>
              </w:rPr>
              <w:t>ing comment on the DEA prior to</w:t>
            </w:r>
            <w:r w:rsidR="00405AED">
              <w:rPr>
                <w:rFonts w:cs="Arial"/>
                <w:sz w:val="20"/>
                <w:szCs w:val="20"/>
              </w:rPr>
              <w:t xml:space="preserve"> gazettal in the APVMA MRL Standard and variations </w:t>
            </w:r>
            <w:r w:rsidR="00BF48E3">
              <w:rPr>
                <w:rFonts w:cs="Arial"/>
                <w:sz w:val="20"/>
                <w:szCs w:val="20"/>
              </w:rPr>
              <w:t xml:space="preserve">in </w:t>
            </w:r>
            <w:r w:rsidR="00405AED">
              <w:rPr>
                <w:rFonts w:cs="Arial"/>
                <w:sz w:val="20"/>
                <w:szCs w:val="20"/>
              </w:rPr>
              <w:t xml:space="preserve">the table to section S20—3. </w:t>
            </w:r>
          </w:p>
          <w:p w14:paraId="16A39C29" w14:textId="43BB0CA3" w:rsidR="00B377CE" w:rsidRPr="000778D6" w:rsidRDefault="00B377CE" w:rsidP="008F531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r w:rsidR="004659BD" w14:paraId="5269DE39" w14:textId="77777777" w:rsidTr="00CF24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6F68D757" w14:textId="2209D5F4" w:rsidR="00D13F55" w:rsidRPr="008410C0" w:rsidRDefault="00D13F55" w:rsidP="008F531F">
            <w:pPr>
              <w:pStyle w:val="FSTableText"/>
              <w:ind w:left="113" w:hanging="113"/>
              <w:rPr>
                <w:b w:val="0"/>
              </w:rPr>
            </w:pPr>
            <w:r>
              <w:rPr>
                <w:b w:val="0"/>
              </w:rPr>
              <w:t>The purpose for which avilamycin has been approved for use in pigs/ pig production in the USA is not clear</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bottom w:val="single" w:sz="4" w:space="0" w:color="auto"/>
              <w:right w:val="single" w:sz="4" w:space="0" w:color="auto"/>
            </w:tcBorders>
          </w:tcPr>
          <w:p w14:paraId="762BA561" w14:textId="37153241" w:rsidR="004659BD" w:rsidRDefault="004659BD" w:rsidP="008F531F">
            <w:pPr>
              <w:pStyle w:val="FSTableText"/>
              <w:ind w:left="113" w:hanging="113"/>
            </w:pPr>
            <w:r w:rsidRPr="00294ED6">
              <w:t>Q</w:t>
            </w:r>
            <w:r w:rsidR="00661328">
              <w:t>ld, Vic</w:t>
            </w:r>
          </w:p>
          <w:p w14:paraId="241A06B0" w14:textId="7AFA5EC8" w:rsidR="004659BD" w:rsidRPr="000778D6" w:rsidRDefault="004659BD" w:rsidP="008F531F">
            <w:pPr>
              <w:pStyle w:val="FSTableText"/>
              <w:ind w:left="113" w:hanging="113"/>
            </w:pPr>
          </w:p>
        </w:tc>
        <w:tc>
          <w:tcPr>
            <w:tcW w:w="9781" w:type="dxa"/>
            <w:tcBorders>
              <w:left w:val="single" w:sz="4" w:space="0" w:color="auto"/>
            </w:tcBorders>
          </w:tcPr>
          <w:p w14:paraId="052AAA28" w14:textId="0A43202E" w:rsidR="00826AC3" w:rsidRDefault="00D13F55" w:rsidP="008F531F">
            <w:pPr>
              <w:pStyle w:val="FSTableText"/>
              <w:ind w:left="113" w:hanging="113"/>
              <w:cnfStyle w:val="000000100000" w:firstRow="0" w:lastRow="0" w:firstColumn="0" w:lastColumn="0" w:oddVBand="0" w:evenVBand="0" w:oddHBand="1" w:evenHBand="0" w:firstRowFirstColumn="0" w:firstRowLastColumn="0" w:lastRowFirstColumn="0" w:lastRowLastColumn="0"/>
            </w:pPr>
            <w:r w:rsidRPr="00CF7196">
              <w:t>The</w:t>
            </w:r>
            <w:r w:rsidR="00F021D4">
              <w:t xml:space="preserve"> US FDA approval summary</w:t>
            </w:r>
            <w:r w:rsidR="0039099E">
              <w:t xml:space="preserve"> for Kavault as a new animal drug application</w:t>
            </w:r>
            <w:r w:rsidRPr="00CF7196">
              <w:t xml:space="preserve"> </w:t>
            </w:r>
            <w:r>
              <w:t>state</w:t>
            </w:r>
            <w:r w:rsidR="00F021D4">
              <w:t>s</w:t>
            </w:r>
            <w:r>
              <w:t xml:space="preserve"> the avilamycin </w:t>
            </w:r>
            <w:r w:rsidRPr="00CF7196">
              <w:t>product was specifically approved in the US</w:t>
            </w:r>
            <w:r w:rsidR="003E2D1F">
              <w:t>A</w:t>
            </w:r>
            <w:r w:rsidRPr="00CF7196">
              <w:t xml:space="preserve"> for “the reduction in incidence and overall severity of diarrhoea in the presence of pathogenic </w:t>
            </w:r>
            <w:r w:rsidRPr="00CF7196">
              <w:rPr>
                <w:i/>
                <w:iCs/>
              </w:rPr>
              <w:t xml:space="preserve">Escherichia coli </w:t>
            </w:r>
            <w:r w:rsidRPr="00CF7196">
              <w:t>in groups of weaned pigs.”</w:t>
            </w:r>
            <w:r>
              <w:t xml:space="preserve"> </w:t>
            </w:r>
            <w:r w:rsidR="002F72D5">
              <w:t xml:space="preserve">Limitations on the administration of Kavault include the requirement for a valid veterinary feed directive to dispense the drug and dosing restrictions of 80ppm medicated feed as the sole ration for 21 consecutive days on swine/weaned pigs up to 14 weeks of age. </w:t>
            </w:r>
          </w:p>
          <w:p w14:paraId="42A1CE3A" w14:textId="77777777" w:rsidR="00826AC3" w:rsidRDefault="00826AC3" w:rsidP="008F531F">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53F40BCD" w14:textId="77777777" w:rsidR="00661328" w:rsidRDefault="00D13F55" w:rsidP="008F531F">
            <w:pPr>
              <w:pStyle w:val="FSTableText"/>
              <w:ind w:left="113" w:hanging="113"/>
              <w:cnfStyle w:val="000000100000" w:firstRow="0" w:lastRow="0" w:firstColumn="0" w:lastColumn="0" w:oddVBand="0" w:evenVBand="0" w:oddHBand="1" w:evenHBand="0" w:firstRowFirstColumn="0" w:firstRowLastColumn="0" w:lastRowFirstColumn="0" w:lastRowLastColumn="0"/>
              <w:rPr>
                <w:i/>
              </w:rPr>
            </w:pPr>
            <w:r>
              <w:t>The</w:t>
            </w:r>
            <w:r w:rsidR="008F531F">
              <w:t xml:space="preserve"> </w:t>
            </w:r>
            <w:hyperlink r:id="rId23" w:history="1">
              <w:r w:rsidR="008F531F">
                <w:rPr>
                  <w:rStyle w:val="Hyperlink"/>
                </w:rPr>
                <w:t>JECFA monograph</w:t>
              </w:r>
            </w:hyperlink>
            <w:r>
              <w:rPr>
                <w:rStyle w:val="FootnoteReference"/>
              </w:rPr>
              <w:footnoteReference w:id="12"/>
            </w:r>
            <w:r>
              <w:t xml:space="preserve"> </w:t>
            </w:r>
            <w:r w:rsidR="008036F7">
              <w:t xml:space="preserve">(Codex) </w:t>
            </w:r>
            <w:r>
              <w:t>describes the intended use to control bacterial enteric infections. The monograph also states avilamycin exhibits good antimicrobial activity against Gram-positive pathogens (</w:t>
            </w:r>
            <w:r w:rsidR="00AC5985">
              <w:t>e.g.</w:t>
            </w:r>
            <w:r>
              <w:t xml:space="preserve"> </w:t>
            </w:r>
            <w:r w:rsidRPr="00CF7196">
              <w:rPr>
                <w:i/>
              </w:rPr>
              <w:t>Clostridium</w:t>
            </w:r>
            <w:r w:rsidR="00AC5985">
              <w:rPr>
                <w:i/>
              </w:rPr>
              <w:t>)</w:t>
            </w:r>
          </w:p>
          <w:p w14:paraId="01C2CABD" w14:textId="54758805" w:rsidR="008F531F" w:rsidRPr="00AC5985" w:rsidRDefault="008F531F" w:rsidP="008F531F">
            <w:pPr>
              <w:pStyle w:val="FSTableText"/>
              <w:ind w:left="113" w:hanging="113"/>
              <w:cnfStyle w:val="000000100000" w:firstRow="0" w:lastRow="0" w:firstColumn="0" w:lastColumn="0" w:oddVBand="0" w:evenVBand="0" w:oddHBand="1" w:evenHBand="0" w:firstRowFirstColumn="0" w:firstRowLastColumn="0" w:lastRowFirstColumn="0" w:lastRowLastColumn="0"/>
            </w:pPr>
          </w:p>
        </w:tc>
      </w:tr>
      <w:tr w:rsidR="004659BD" w14:paraId="44DBB4E2" w14:textId="77777777" w:rsidTr="008F53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tcPr>
          <w:p w14:paraId="7C2060DA" w14:textId="5E6A4573" w:rsidR="004659BD" w:rsidRPr="008410C0" w:rsidRDefault="004659BD" w:rsidP="008F531F">
            <w:pPr>
              <w:pStyle w:val="FSTableText"/>
              <w:ind w:left="113" w:hanging="113"/>
              <w:rPr>
                <w:b w:val="0"/>
              </w:rPr>
            </w:pPr>
            <w:r w:rsidRPr="008410C0">
              <w:rPr>
                <w:b w:val="0"/>
              </w:rPr>
              <w:lastRenderedPageBreak/>
              <w:t>Lack of reference to the Australian Government National Antimicrobial Resistance Strategy 2015-2019 and its report.</w:t>
            </w:r>
          </w:p>
        </w:tc>
        <w:tc>
          <w:tcPr>
            <w:cnfStyle w:val="000010000000" w:firstRow="0" w:lastRow="0" w:firstColumn="0" w:lastColumn="0" w:oddVBand="1" w:evenVBand="0" w:oddHBand="0" w:evenHBand="0" w:firstRowFirstColumn="0" w:firstRowLastColumn="0" w:lastRowFirstColumn="0" w:lastRowLastColumn="0"/>
            <w:tcW w:w="2268" w:type="dxa"/>
            <w:tcBorders>
              <w:left w:val="single" w:sz="4" w:space="0" w:color="auto"/>
              <w:right w:val="single" w:sz="4" w:space="0" w:color="auto"/>
            </w:tcBorders>
            <w:shd w:val="clear" w:color="auto" w:fill="auto"/>
          </w:tcPr>
          <w:p w14:paraId="0130761F" w14:textId="27468ADD" w:rsidR="004659BD" w:rsidRPr="000778D6" w:rsidRDefault="00F97C93" w:rsidP="008F531F">
            <w:pPr>
              <w:pStyle w:val="FSTableText"/>
              <w:ind w:left="113" w:hanging="113"/>
            </w:pPr>
            <w:r>
              <w:t>Q</w:t>
            </w:r>
            <w:r w:rsidR="00661328">
              <w:t>ld</w:t>
            </w:r>
          </w:p>
        </w:tc>
        <w:tc>
          <w:tcPr>
            <w:tcW w:w="9781" w:type="dxa"/>
            <w:tcBorders>
              <w:left w:val="single" w:sz="4" w:space="0" w:color="auto"/>
            </w:tcBorders>
          </w:tcPr>
          <w:p w14:paraId="7EACD1DF" w14:textId="01930A73" w:rsidR="0070405C" w:rsidRDefault="001D1F05" w:rsidP="008F531F">
            <w:pPr>
              <w:pStyle w:val="FSTableText"/>
              <w:ind w:left="113" w:hanging="113"/>
              <w:cnfStyle w:val="000000010000" w:firstRow="0" w:lastRow="0" w:firstColumn="0" w:lastColumn="0" w:oddVBand="0" w:evenVBand="0" w:oddHBand="0" w:evenHBand="1" w:firstRowFirstColumn="0" w:firstRowLastColumn="0" w:lastRowFirstColumn="0" w:lastRowLastColumn="0"/>
            </w:pPr>
            <w:r>
              <w:t>FSANZ</w:t>
            </w:r>
            <w:r w:rsidR="001242E1">
              <w:t>’s</w:t>
            </w:r>
            <w:r>
              <w:t xml:space="preserve"> </w:t>
            </w:r>
            <w:r w:rsidR="003608A7">
              <w:t xml:space="preserve">risk </w:t>
            </w:r>
            <w:r>
              <w:t xml:space="preserve">assessment </w:t>
            </w:r>
            <w:r w:rsidR="003608A7">
              <w:t xml:space="preserve">considered the </w:t>
            </w:r>
            <w:r w:rsidR="00C50DC5">
              <w:t xml:space="preserve">potential </w:t>
            </w:r>
            <w:r w:rsidR="003608A7">
              <w:t>for the</w:t>
            </w:r>
            <w:r w:rsidR="00C50DC5">
              <w:t xml:space="preserve"> development of antimicrobial resistance (AMR) </w:t>
            </w:r>
            <w:r w:rsidR="002F0C93">
              <w:t>at</w:t>
            </w:r>
            <w:r w:rsidR="00C50DC5">
              <w:t xml:space="preserve"> the </w:t>
            </w:r>
            <w:r w:rsidR="003608A7">
              <w:t>proposed</w:t>
            </w:r>
            <w:r w:rsidR="00C50DC5">
              <w:t xml:space="preserve"> </w:t>
            </w:r>
            <w:r w:rsidR="002F0C93">
              <w:t>MRL of</w:t>
            </w:r>
            <w:r w:rsidR="00C50DC5">
              <w:t xml:space="preserve"> avilamycin residues in </w:t>
            </w:r>
            <w:r w:rsidR="003608A7">
              <w:t>specific</w:t>
            </w:r>
            <w:r w:rsidR="002F0C93">
              <w:t xml:space="preserve"> </w:t>
            </w:r>
            <w:r w:rsidR="00C50DC5">
              <w:t>pig commodities</w:t>
            </w:r>
            <w:r w:rsidR="0037390B">
              <w:t>.</w:t>
            </w:r>
          </w:p>
          <w:p w14:paraId="589A95B1" w14:textId="77777777" w:rsidR="0070405C" w:rsidRDefault="0070405C" w:rsidP="008F531F">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3A8BDF4B" w14:textId="5BC897D4" w:rsidR="004659BD" w:rsidRDefault="00667CB7" w:rsidP="008F531F">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Avilamycin is poorly absorbed and is extensively metabolised in the gastrointestinal (GI) tract of pigs and poultry </w:t>
            </w:r>
            <w:r w:rsidR="0070405C">
              <w:t>and r</w:t>
            </w:r>
            <w:r>
              <w:t>emaining residues in tissues are not microbiologically active (JECFA 2009).</w:t>
            </w:r>
            <w:r w:rsidR="0070405C">
              <w:t xml:space="preserve"> </w:t>
            </w:r>
            <w:r w:rsidR="002C7E27">
              <w:t xml:space="preserve">Avilamycin and related </w:t>
            </w:r>
            <w:r w:rsidR="004B630A">
              <w:t>antibiotics are not used in human medicine.</w:t>
            </w:r>
            <w:r w:rsidR="0070405C">
              <w:t xml:space="preserve"> </w:t>
            </w:r>
            <w:r w:rsidR="000567FE">
              <w:t>The proposed MRL for avilamycin ensures that consumers will not be exposed to residues that could</w:t>
            </w:r>
            <w:r w:rsidR="003608A7">
              <w:t xml:space="preserve"> select for</w:t>
            </w:r>
            <w:r w:rsidR="000567FE">
              <w:t xml:space="preserve"> AMR</w:t>
            </w:r>
            <w:r w:rsidR="003608A7">
              <w:t xml:space="preserve"> bacteria</w:t>
            </w:r>
            <w:r w:rsidR="0037390B">
              <w:t>.</w:t>
            </w:r>
          </w:p>
          <w:p w14:paraId="3B303E88" w14:textId="3F8A7F83" w:rsidR="00661328" w:rsidRDefault="00661328" w:rsidP="008F531F">
            <w:pPr>
              <w:pStyle w:val="FSTableText"/>
              <w:ind w:left="113" w:hanging="113"/>
              <w:cnfStyle w:val="000000010000" w:firstRow="0" w:lastRow="0" w:firstColumn="0" w:lastColumn="0" w:oddVBand="0" w:evenVBand="0" w:oddHBand="0" w:evenHBand="1" w:firstRowFirstColumn="0" w:firstRowLastColumn="0" w:lastRowFirstColumn="0" w:lastRowLastColumn="0"/>
            </w:pPr>
          </w:p>
        </w:tc>
      </w:tr>
    </w:tbl>
    <w:p w14:paraId="451821D3" w14:textId="1C3E6B17" w:rsidR="002C1A3B" w:rsidRPr="00932F14" w:rsidRDefault="002C1A3B" w:rsidP="002C1A3B">
      <w:pPr>
        <w:pStyle w:val="Heading2"/>
      </w:pPr>
      <w:bookmarkStart w:id="52" w:name="_Toc370223472"/>
      <w:bookmarkStart w:id="53" w:name="_Toc370225387"/>
      <w:bookmarkStart w:id="54" w:name="_Toc475101751"/>
      <w:bookmarkStart w:id="55" w:name="_Toc309291812"/>
      <w:bookmarkStart w:id="56" w:name="_Toc175381442"/>
      <w:bookmarkEnd w:id="46"/>
      <w:bookmarkEnd w:id="47"/>
      <w:bookmarkEnd w:id="48"/>
      <w:bookmarkEnd w:id="49"/>
      <w:bookmarkEnd w:id="50"/>
      <w:bookmarkEnd w:id="51"/>
      <w:r>
        <w:t>2.2</w:t>
      </w:r>
      <w:r>
        <w:tab/>
      </w:r>
      <w:r w:rsidRPr="00932F14">
        <w:t xml:space="preserve">Risk </w:t>
      </w:r>
      <w:r>
        <w:t>a</w:t>
      </w:r>
      <w:r w:rsidRPr="00932F14">
        <w:t>ssessment</w:t>
      </w:r>
      <w:bookmarkEnd w:id="52"/>
      <w:bookmarkEnd w:id="53"/>
      <w:bookmarkEnd w:id="54"/>
    </w:p>
    <w:p w14:paraId="3CEC9227" w14:textId="48C13D2A" w:rsidR="00616D65" w:rsidRDefault="00616D65" w:rsidP="00616D65">
      <w:r>
        <w:t>To assess potential public health and safety implications of avilamycin residues in food, FSANZ considered the best available toxicological and microbiological information and undertook a dietary exposure assessment when considering whether to harmonise with MRLs of 0.2 mg/kg and 0.3 mg/kg established by Codex for avilamycin in selected pig commodities using the residue marker, DIA.</w:t>
      </w:r>
    </w:p>
    <w:p w14:paraId="5AAFB2DD" w14:textId="77777777" w:rsidR="00616D65" w:rsidRDefault="00616D65" w:rsidP="00616D65"/>
    <w:p w14:paraId="1C49AF3F" w14:textId="7E8588A8" w:rsidR="00A70B50" w:rsidRDefault="00AB2A6B" w:rsidP="00616D65">
      <w:r>
        <w:t>FSANZ estimated</w:t>
      </w:r>
      <w:r w:rsidR="00A70B50" w:rsidRPr="00876CB1">
        <w:t xml:space="preserve"> the dietary exposure to chemical residues from potentially treated foods in the diet</w:t>
      </w:r>
      <w:r w:rsidR="003B575E">
        <w:t xml:space="preserve"> by comparing the </w:t>
      </w:r>
      <w:r w:rsidR="00A70B50" w:rsidRPr="00876CB1">
        <w:t>dietary exposure</w:t>
      </w:r>
      <w:r w:rsidR="003B575E">
        <w:t xml:space="preserve"> against the ADI</w:t>
      </w:r>
      <w:r w:rsidR="00F97C93">
        <w:t xml:space="preserve">, </w:t>
      </w:r>
      <w:r w:rsidR="00A70B50" w:rsidRPr="00F97C93">
        <w:t>the relevant Health-Based Guidance Value</w:t>
      </w:r>
      <w:r w:rsidR="000D2C0F">
        <w:t xml:space="preserve"> (HBGV)</w:t>
      </w:r>
      <w:r w:rsidR="003B575E" w:rsidRPr="00876CB1" w:rsidDel="003B575E">
        <w:t>.</w:t>
      </w:r>
      <w:r w:rsidR="000D2C0F">
        <w:t xml:space="preserve"> No acute assessment was undertak</w:t>
      </w:r>
      <w:r w:rsidR="00044809">
        <w:t>en as no relevant acute HBGV</w:t>
      </w:r>
      <w:r w:rsidR="001977BA">
        <w:t>s</w:t>
      </w:r>
      <w:r w:rsidR="00044809">
        <w:t xml:space="preserve"> have</w:t>
      </w:r>
      <w:r w:rsidR="000D2C0F">
        <w:t xml:space="preserve"> been established by the </w:t>
      </w:r>
      <w:r w:rsidR="00146245">
        <w:t xml:space="preserve">Australian Government </w:t>
      </w:r>
      <w:r w:rsidR="00920E0D">
        <w:t>Department</w:t>
      </w:r>
      <w:r w:rsidR="00146245">
        <w:t xml:space="preserve"> of Health’ s </w:t>
      </w:r>
      <w:r w:rsidR="000D2C0F">
        <w:t>Of</w:t>
      </w:r>
      <w:r w:rsidR="00044809">
        <w:t xml:space="preserve">fice of Chemical Safety or JECFA. </w:t>
      </w:r>
    </w:p>
    <w:p w14:paraId="7D645BA7" w14:textId="77777777" w:rsidR="00A70B50" w:rsidRDefault="00A70B50" w:rsidP="00616D65"/>
    <w:p w14:paraId="6928D799" w14:textId="7A6C1D9F" w:rsidR="00A70B50" w:rsidRDefault="00A70B50" w:rsidP="00A70B50">
      <w:pPr>
        <w:rPr>
          <w:rFonts w:cs="Arial"/>
        </w:rPr>
      </w:pPr>
      <w:r>
        <w:rPr>
          <w:rFonts w:cs="Arial"/>
        </w:rPr>
        <w:t xml:space="preserve">The chronic dietary exposure to avilamycin was </w:t>
      </w:r>
      <w:r w:rsidR="00AB2A6B">
        <w:rPr>
          <w:rFonts w:cs="Arial"/>
        </w:rPr>
        <w:t>assessed</w:t>
      </w:r>
      <w:r>
        <w:rPr>
          <w:rFonts w:cs="Arial"/>
        </w:rPr>
        <w:t xml:space="preserve"> by the national estimated dietary intake (NEDI) calculation encompassing all current permissions for avilamycin in</w:t>
      </w:r>
      <w:r w:rsidRPr="00D824B5">
        <w:rPr>
          <w:rFonts w:cs="Arial"/>
        </w:rPr>
        <w:t xml:space="preserve"> </w:t>
      </w:r>
      <w:r>
        <w:rPr>
          <w:rFonts w:cs="Arial"/>
        </w:rPr>
        <w:t xml:space="preserve">the </w:t>
      </w:r>
      <w:r w:rsidRPr="00D824B5">
        <w:t xml:space="preserve">table to </w:t>
      </w:r>
      <w:r>
        <w:t xml:space="preserve">section </w:t>
      </w:r>
      <w:r w:rsidRPr="00D824B5">
        <w:t>S20—3</w:t>
      </w:r>
      <w:r>
        <w:rPr>
          <w:rFonts w:cs="Arial"/>
        </w:rPr>
        <w:t xml:space="preserve">, the proposed commodity MRLs in the Application, and the mean daily dietary consumption data derived from the relevant national nutrition surveys. The NEDI for avilamycin is &lt;1% of the ADI. It was concluded that the chronic dietary exposure to avilamycin </w:t>
      </w:r>
      <w:r w:rsidRPr="007D70F6">
        <w:t xml:space="preserve">(with the proposed residue definition: measured as </w:t>
      </w:r>
      <w:r w:rsidR="00333C8E">
        <w:t>DIA</w:t>
      </w:r>
      <w:r w:rsidR="00830AF0">
        <w:t>)</w:t>
      </w:r>
      <w:r>
        <w:t xml:space="preserve"> </w:t>
      </w:r>
      <w:r w:rsidR="001768B6">
        <w:rPr>
          <w:rFonts w:cs="Arial"/>
        </w:rPr>
        <w:t>d</w:t>
      </w:r>
      <w:r w:rsidR="005E3FFB">
        <w:rPr>
          <w:rFonts w:cs="Arial"/>
        </w:rPr>
        <w:t xml:space="preserve">id not substantially increase dietary exposure. </w:t>
      </w:r>
    </w:p>
    <w:p w14:paraId="5EE3F514" w14:textId="77777777" w:rsidR="00A70B50" w:rsidRPr="00876CB1" w:rsidRDefault="00A70B50" w:rsidP="00A70B50"/>
    <w:p w14:paraId="6139CBB8" w14:textId="062B7F72" w:rsidR="00A70B50" w:rsidRPr="000802D4" w:rsidRDefault="00A70B50" w:rsidP="00616D65">
      <w:pPr>
        <w:rPr>
          <w:rStyle w:val="Hyperlink"/>
          <w:color w:val="auto"/>
          <w:u w:val="none"/>
        </w:rPr>
      </w:pPr>
      <w:r w:rsidRPr="00876CB1">
        <w:t xml:space="preserve">A summary of </w:t>
      </w:r>
      <w:r>
        <w:t xml:space="preserve">the </w:t>
      </w:r>
      <w:r w:rsidRPr="00876CB1">
        <w:t>dietary exposure estimate for avilamycin</w:t>
      </w:r>
      <w:r>
        <w:t>, including</w:t>
      </w:r>
      <w:r w:rsidRPr="00876CB1">
        <w:t xml:space="preserve"> </w:t>
      </w:r>
      <w:r w:rsidR="001242E1">
        <w:t xml:space="preserve">the </w:t>
      </w:r>
      <w:r w:rsidRPr="00876CB1">
        <w:t xml:space="preserve">requested pig commodities for this </w:t>
      </w:r>
      <w:r>
        <w:t>Application are provided in section 1 of SD1.</w:t>
      </w:r>
      <w:r w:rsidR="00846618">
        <w:t xml:space="preserve"> Following the Call for Submissions, a minor clarification was made to SD1 to ensure accuracy </w:t>
      </w:r>
      <w:r w:rsidR="00E90116">
        <w:t xml:space="preserve">in relation to the DEA process. </w:t>
      </w:r>
      <w:r>
        <w:t xml:space="preserve">Further information on how FSANZ conducts DEAs is available on the </w:t>
      </w:r>
      <w:hyperlink r:id="rId24" w:history="1">
        <w:r>
          <w:rPr>
            <w:rStyle w:val="Hyperlink"/>
          </w:rPr>
          <w:t>FSANZ website</w:t>
        </w:r>
      </w:hyperlink>
      <w:r w:rsidRPr="003E3E91">
        <w:rPr>
          <w:rStyle w:val="FootnoteReference"/>
        </w:rPr>
        <w:footnoteReference w:id="13"/>
      </w:r>
      <w:r w:rsidR="00F54482" w:rsidRPr="000802D4">
        <w:rPr>
          <w:rStyle w:val="Hyperlink"/>
          <w:color w:val="auto"/>
          <w:u w:val="none"/>
        </w:rPr>
        <w:t>.</w:t>
      </w:r>
    </w:p>
    <w:p w14:paraId="604ECE01" w14:textId="77777777" w:rsidR="00A70B50" w:rsidRPr="000802D4" w:rsidRDefault="00A70B50" w:rsidP="00616D65">
      <w:pPr>
        <w:rPr>
          <w:rStyle w:val="Hyperlink"/>
          <w:color w:val="auto"/>
          <w:sz w:val="24"/>
          <w:u w:val="none"/>
        </w:rPr>
      </w:pPr>
    </w:p>
    <w:p w14:paraId="73DAA60E" w14:textId="77777777" w:rsidR="008F531F" w:rsidRDefault="00A70B50" w:rsidP="00013C8B">
      <w:pPr>
        <w:pStyle w:val="FSTableText"/>
        <w:rPr>
          <w:sz w:val="22"/>
          <w:szCs w:val="22"/>
        </w:rPr>
      </w:pPr>
      <w:r w:rsidRPr="00F77C18">
        <w:rPr>
          <w:sz w:val="22"/>
        </w:rPr>
        <w:t xml:space="preserve">FSANZ also undertook a microbiological risk assessment. This assessed the antibiotic's mode of action, reviewed the microbiological activity of residues in edible pork (pig) and considered any antimicrobial resistance effects. FSANZ concluded that the </w:t>
      </w:r>
      <w:r w:rsidR="001242E1">
        <w:rPr>
          <w:sz w:val="22"/>
        </w:rPr>
        <w:t xml:space="preserve">proposed MRLs </w:t>
      </w:r>
      <w:r w:rsidRPr="00F77C18">
        <w:rPr>
          <w:sz w:val="22"/>
        </w:rPr>
        <w:t xml:space="preserve">present a </w:t>
      </w:r>
      <w:r w:rsidR="00AE4353">
        <w:rPr>
          <w:sz w:val="22"/>
        </w:rPr>
        <w:t xml:space="preserve">negligible </w:t>
      </w:r>
      <w:r w:rsidRPr="00F77C18">
        <w:rPr>
          <w:sz w:val="22"/>
        </w:rPr>
        <w:t>risk to consumers for the development of resistance to antimicrobials commonly used in human medicine.</w:t>
      </w:r>
      <w:r w:rsidR="00E1659E" w:rsidRPr="00D834AB">
        <w:rPr>
          <w:sz w:val="22"/>
          <w:szCs w:val="22"/>
        </w:rPr>
        <w:t xml:space="preserve"> </w:t>
      </w:r>
      <w:r w:rsidRPr="00D834AB">
        <w:rPr>
          <w:sz w:val="22"/>
          <w:szCs w:val="22"/>
        </w:rPr>
        <w:t>The complete microbiological risk assessment for this Application is provided in section 2 of SD1.</w:t>
      </w:r>
      <w:r w:rsidR="00E86AD8">
        <w:rPr>
          <w:sz w:val="22"/>
          <w:szCs w:val="22"/>
        </w:rPr>
        <w:t xml:space="preserve"> The microbiological risk assessment was provided to the Australian Strategic and Technical Advisory Group on Antimicrobial Resistance (ASTAG) for expert review. </w:t>
      </w:r>
      <w:r w:rsidR="008F531F">
        <w:rPr>
          <w:sz w:val="22"/>
          <w:szCs w:val="22"/>
        </w:rPr>
        <w:br w:type="page"/>
      </w:r>
    </w:p>
    <w:p w14:paraId="349AC0B0" w14:textId="3A9150EF" w:rsidR="00A70B50" w:rsidRDefault="00E86AD8" w:rsidP="00013C8B">
      <w:pPr>
        <w:pStyle w:val="FSTableText"/>
        <w:rPr>
          <w:sz w:val="22"/>
          <w:szCs w:val="22"/>
        </w:rPr>
      </w:pPr>
      <w:r>
        <w:rPr>
          <w:sz w:val="22"/>
          <w:szCs w:val="22"/>
        </w:rPr>
        <w:lastRenderedPageBreak/>
        <w:t>ASTAG</w:t>
      </w:r>
      <w:r w:rsidR="002D45EC">
        <w:rPr>
          <w:sz w:val="22"/>
          <w:szCs w:val="22"/>
        </w:rPr>
        <w:t>,</w:t>
      </w:r>
      <w:r>
        <w:rPr>
          <w:sz w:val="22"/>
          <w:szCs w:val="22"/>
        </w:rPr>
        <w:t xml:space="preserve"> together with the Department of Health and the Department of Agriculture and Water Resources, agreed with FSANZ</w:t>
      </w:r>
      <w:r w:rsidR="002D45EC">
        <w:rPr>
          <w:sz w:val="22"/>
          <w:szCs w:val="22"/>
        </w:rPr>
        <w:t>’</w:t>
      </w:r>
      <w:r>
        <w:rPr>
          <w:sz w:val="22"/>
          <w:szCs w:val="22"/>
        </w:rPr>
        <w:t>s conclusion.</w:t>
      </w:r>
    </w:p>
    <w:p w14:paraId="51496DE7" w14:textId="46BF4264" w:rsidR="00013C8B" w:rsidRDefault="00013C8B" w:rsidP="00013C8B">
      <w:pPr>
        <w:pStyle w:val="FSTableText"/>
        <w:rPr>
          <w:szCs w:val="22"/>
        </w:rPr>
      </w:pPr>
    </w:p>
    <w:p w14:paraId="0D7E418A" w14:textId="047B2109" w:rsidR="00001C95" w:rsidRDefault="008C28E2" w:rsidP="00001C95">
      <w:pPr>
        <w:pStyle w:val="FSTableText"/>
        <w:rPr>
          <w:sz w:val="22"/>
          <w:szCs w:val="22"/>
        </w:rPr>
      </w:pPr>
      <w:r>
        <w:rPr>
          <w:sz w:val="22"/>
          <w:szCs w:val="22"/>
        </w:rPr>
        <w:t>From the results of</w:t>
      </w:r>
      <w:r w:rsidR="00FE740E">
        <w:rPr>
          <w:sz w:val="22"/>
          <w:szCs w:val="22"/>
        </w:rPr>
        <w:t xml:space="preserve"> the microbiological and dietary exposure risk assessment</w:t>
      </w:r>
      <w:r>
        <w:rPr>
          <w:sz w:val="22"/>
          <w:szCs w:val="22"/>
        </w:rPr>
        <w:t>s</w:t>
      </w:r>
      <w:r w:rsidR="00FE740E">
        <w:rPr>
          <w:sz w:val="22"/>
          <w:szCs w:val="22"/>
        </w:rPr>
        <w:t xml:space="preserve"> </w:t>
      </w:r>
      <w:r>
        <w:rPr>
          <w:sz w:val="22"/>
          <w:szCs w:val="22"/>
        </w:rPr>
        <w:t xml:space="preserve">undertaken, FSANZ </w:t>
      </w:r>
      <w:r w:rsidR="00FE740E">
        <w:rPr>
          <w:sz w:val="22"/>
          <w:szCs w:val="22"/>
        </w:rPr>
        <w:t>concluded that the proposed MRLs for avilamycin</w:t>
      </w:r>
      <w:r>
        <w:rPr>
          <w:sz w:val="22"/>
          <w:szCs w:val="22"/>
        </w:rPr>
        <w:t xml:space="preserve"> residues</w:t>
      </w:r>
      <w:r w:rsidR="00FE740E">
        <w:rPr>
          <w:sz w:val="22"/>
          <w:szCs w:val="22"/>
        </w:rPr>
        <w:t xml:space="preserve"> in selected pig products do not present public health and safety concerns. </w:t>
      </w:r>
    </w:p>
    <w:p w14:paraId="440CECF2" w14:textId="77777777" w:rsidR="002C1A3B" w:rsidRPr="00932F14" w:rsidRDefault="002C1A3B" w:rsidP="008F531F">
      <w:pPr>
        <w:pStyle w:val="Heading2"/>
      </w:pPr>
      <w:bookmarkStart w:id="57" w:name="_Toc370223473"/>
      <w:bookmarkStart w:id="58" w:name="_Toc370225388"/>
      <w:bookmarkStart w:id="59" w:name="_Toc475101752"/>
      <w:bookmarkStart w:id="60" w:name="_Toc175381450"/>
      <w:bookmarkEnd w:id="55"/>
      <w:bookmarkEnd w:id="56"/>
      <w:r>
        <w:t>2.3</w:t>
      </w:r>
      <w:r>
        <w:tab/>
        <w:t>Risk management</w:t>
      </w:r>
      <w:bookmarkEnd w:id="57"/>
      <w:bookmarkEnd w:id="58"/>
      <w:bookmarkEnd w:id="59"/>
    </w:p>
    <w:p w14:paraId="57A1CA39" w14:textId="2F8B7719" w:rsidR="00FE655D" w:rsidRDefault="007124B1" w:rsidP="007124B1">
      <w:r>
        <w:t>This Application requested harmonis</w:t>
      </w:r>
      <w:r w:rsidR="00D734CC">
        <w:t xml:space="preserve">ation </w:t>
      </w:r>
      <w:r>
        <w:t xml:space="preserve">with </w:t>
      </w:r>
      <w:r w:rsidR="00D734CC">
        <w:t xml:space="preserve">the </w:t>
      </w:r>
      <w:r>
        <w:t xml:space="preserve">established Codex MRLs </w:t>
      </w:r>
      <w:r w:rsidR="00D734CC">
        <w:t xml:space="preserve">for the legitimate use of avilamycin in pigs </w:t>
      </w:r>
      <w:r>
        <w:t xml:space="preserve">and the most appropriate </w:t>
      </w:r>
      <w:r w:rsidR="00D734CC">
        <w:t xml:space="preserve">Codex </w:t>
      </w:r>
      <w:r>
        <w:t xml:space="preserve">residue marker </w:t>
      </w:r>
      <w:r w:rsidR="00EE1D78">
        <w:t>was</w:t>
      </w:r>
      <w:r w:rsidR="00D734CC">
        <w:t xml:space="preserve"> used.</w:t>
      </w:r>
      <w:r w:rsidR="00EE1D78">
        <w:t xml:space="preserve"> </w:t>
      </w:r>
      <w:r w:rsidR="00FE655D">
        <w:t>FSANZ is committed to maintaining limits in the Code that reflect agvet residues that may legitimately occur in food; this ensures that such food may be sold. The safety of the residues in the context of the Australian diet is</w:t>
      </w:r>
      <w:r w:rsidR="00F351D8">
        <w:t xml:space="preserve"> also</w:t>
      </w:r>
      <w:r w:rsidR="00FE655D">
        <w:t xml:space="preserve"> important. FSANZ only approves variations to limits in the Code where the risk assessment concludes that the estimated dietary exposure to the agvet chemical is within HBGVs.</w:t>
      </w:r>
    </w:p>
    <w:p w14:paraId="17E83801" w14:textId="77777777" w:rsidR="00FE655D" w:rsidRDefault="00FE655D" w:rsidP="00FE655D"/>
    <w:p w14:paraId="63750D01" w14:textId="0C904287" w:rsidR="00F351D8" w:rsidRDefault="00B72495" w:rsidP="00FE655D">
      <w:r>
        <w:rPr>
          <w:lang w:bidi="ar-SA"/>
        </w:rPr>
        <w:t>The FSANZ Board has approved</w:t>
      </w:r>
      <w:r w:rsidR="00FE655D">
        <w:rPr>
          <w:lang w:bidi="ar-SA"/>
        </w:rPr>
        <w:t xml:space="preserve"> a </w:t>
      </w:r>
      <w:r>
        <w:rPr>
          <w:lang w:bidi="ar-SA"/>
        </w:rPr>
        <w:t xml:space="preserve">variation to Schedule 20 </w:t>
      </w:r>
      <w:r w:rsidRPr="00CF7A2D">
        <w:t>to include MRL</w:t>
      </w:r>
      <w:r>
        <w:t xml:space="preserve">s to align </w:t>
      </w:r>
      <w:r w:rsidR="00F77C18">
        <w:t xml:space="preserve">the Code </w:t>
      </w:r>
      <w:r>
        <w:t xml:space="preserve">with Codex MRLs of 0.2 mg/kg for pig fat/skin, pig kidney and pig meat and 0.3 mg/kg for pig liver. The approved MRLs will be listed in the table to section S20—3 with the </w:t>
      </w:r>
      <w:r w:rsidR="00705668">
        <w:t xml:space="preserve">Codex </w:t>
      </w:r>
      <w:r>
        <w:t xml:space="preserve">residue definition </w:t>
      </w:r>
      <w:r w:rsidR="00705668">
        <w:t xml:space="preserve">of </w:t>
      </w:r>
      <w:r>
        <w:t>DIA</w:t>
      </w:r>
      <w:r w:rsidRPr="00CF7A2D">
        <w:t xml:space="preserve"> for the veterinary chemical avilamycin </w:t>
      </w:r>
      <w:r>
        <w:t xml:space="preserve">in the </w:t>
      </w:r>
      <w:r w:rsidRPr="00CF7A2D">
        <w:t>specifi</w:t>
      </w:r>
      <w:r>
        <w:t xml:space="preserve">ed </w:t>
      </w:r>
      <w:r w:rsidRPr="00CF7A2D">
        <w:t>pig commodities</w:t>
      </w:r>
      <w:r w:rsidR="00957692">
        <w:t>.</w:t>
      </w:r>
    </w:p>
    <w:p w14:paraId="0668AF4E" w14:textId="53A1EF92" w:rsidR="00B72495" w:rsidRDefault="00B72495" w:rsidP="00FE655D"/>
    <w:p w14:paraId="724130B3" w14:textId="2B30E0AC" w:rsidR="00B72495" w:rsidRDefault="00F351D8" w:rsidP="00FE655D">
      <w:pPr>
        <w:rPr>
          <w:lang w:bidi="ar-SA"/>
        </w:rPr>
      </w:pPr>
      <w:r>
        <w:t xml:space="preserve">FSANZ considered including </w:t>
      </w:r>
      <w:r w:rsidR="00E21391">
        <w:t xml:space="preserve">the </w:t>
      </w:r>
      <w:r>
        <w:t xml:space="preserve">MRLs in the Code </w:t>
      </w:r>
      <w:r>
        <w:rPr>
          <w:lang w:bidi="ar-SA"/>
        </w:rPr>
        <w:t xml:space="preserve">as the risk assessment </w:t>
      </w:r>
      <w:r w:rsidR="00E21391">
        <w:rPr>
          <w:lang w:bidi="ar-SA"/>
        </w:rPr>
        <w:t xml:space="preserve">showed </w:t>
      </w:r>
      <w:r>
        <w:rPr>
          <w:lang w:bidi="ar-SA"/>
        </w:rPr>
        <w:t>no public health or safety concerns resulting from consumption of the relevant foods that may potentially contain residues of avilamycin at the Codex MRL levels. The Applicant also provided evidence of the importation of pig commodities from the USA to Australia and demonstrated this trade is expected to increa</w:t>
      </w:r>
      <w:r w:rsidR="00957692">
        <w:rPr>
          <w:lang w:bidi="ar-SA"/>
        </w:rPr>
        <w:t>se.</w:t>
      </w:r>
    </w:p>
    <w:p w14:paraId="2E8286F6" w14:textId="77777777" w:rsidR="00F351D8" w:rsidRDefault="00F351D8" w:rsidP="00FE655D">
      <w:pPr>
        <w:rPr>
          <w:lang w:bidi="ar-SA"/>
        </w:rPr>
      </w:pPr>
    </w:p>
    <w:p w14:paraId="49F63C56" w14:textId="59017F25" w:rsidR="00B72495" w:rsidRDefault="00F351D8" w:rsidP="00FE655D">
      <w:pPr>
        <w:rPr>
          <w:lang w:bidi="ar-SA"/>
        </w:rPr>
      </w:pPr>
      <w:r>
        <w:rPr>
          <w:szCs w:val="22"/>
        </w:rPr>
        <w:t xml:space="preserve">The implementation, monitoring and enforcement of the MRL requirements in the Code are undertaken within Australia by state and territory food regulatory agencies and at the national borders by </w:t>
      </w:r>
      <w:r w:rsidR="00146245">
        <w:rPr>
          <w:szCs w:val="22"/>
        </w:rPr>
        <w:t xml:space="preserve">the </w:t>
      </w:r>
      <w:r>
        <w:rPr>
          <w:szCs w:val="22"/>
        </w:rPr>
        <w:t>Department of Agriculture and Water Resources.</w:t>
      </w:r>
      <w:r w:rsidR="00386530">
        <w:rPr>
          <w:szCs w:val="22"/>
        </w:rPr>
        <w:t xml:space="preserve"> During </w:t>
      </w:r>
      <w:r w:rsidR="00C664A1">
        <w:rPr>
          <w:szCs w:val="22"/>
        </w:rPr>
        <w:t xml:space="preserve">the </w:t>
      </w:r>
      <w:r w:rsidR="00386530">
        <w:rPr>
          <w:szCs w:val="22"/>
        </w:rPr>
        <w:t>risk assessment and approval</w:t>
      </w:r>
      <w:r w:rsidR="00C664A1">
        <w:rPr>
          <w:szCs w:val="22"/>
        </w:rPr>
        <w:t xml:space="preserve"> process</w:t>
      </w:r>
      <w:r>
        <w:rPr>
          <w:szCs w:val="22"/>
        </w:rPr>
        <w:t>, FSANZ</w:t>
      </w:r>
      <w:r w:rsidR="00386530">
        <w:rPr>
          <w:szCs w:val="22"/>
        </w:rPr>
        <w:t xml:space="preserve"> also</w:t>
      </w:r>
      <w:r w:rsidR="00B1309D">
        <w:rPr>
          <w:szCs w:val="22"/>
        </w:rPr>
        <w:t xml:space="preserve"> thoroughly</w:t>
      </w:r>
      <w:r w:rsidR="00386530">
        <w:rPr>
          <w:szCs w:val="22"/>
        </w:rPr>
        <w:t xml:space="preserve"> </w:t>
      </w:r>
      <w:r>
        <w:rPr>
          <w:szCs w:val="22"/>
        </w:rPr>
        <w:t xml:space="preserve">considered the </w:t>
      </w:r>
      <w:r w:rsidR="00B1309D">
        <w:rPr>
          <w:szCs w:val="22"/>
        </w:rPr>
        <w:t xml:space="preserve">need </w:t>
      </w:r>
      <w:r w:rsidR="00386530">
        <w:rPr>
          <w:szCs w:val="22"/>
        </w:rPr>
        <w:t xml:space="preserve">for a separate residue definition </w:t>
      </w:r>
      <w:r>
        <w:rPr>
          <w:lang w:bidi="ar-SA"/>
        </w:rPr>
        <w:t xml:space="preserve">to harmonise with the </w:t>
      </w:r>
      <w:r w:rsidR="00386530">
        <w:rPr>
          <w:lang w:bidi="ar-SA"/>
        </w:rPr>
        <w:t>established Codex MRL</w:t>
      </w:r>
      <w:r w:rsidR="00C57724">
        <w:rPr>
          <w:lang w:bidi="ar-SA"/>
        </w:rPr>
        <w:t>s and acknowledged</w:t>
      </w:r>
      <w:r>
        <w:rPr>
          <w:lang w:bidi="ar-SA"/>
        </w:rPr>
        <w:t xml:space="preserve"> appropriate testing methodology</w:t>
      </w:r>
      <w:r w:rsidR="00761E63">
        <w:rPr>
          <w:lang w:bidi="ar-SA"/>
        </w:rPr>
        <w:t xml:space="preserve"> is available for the residue marker DIA.</w:t>
      </w:r>
    </w:p>
    <w:p w14:paraId="514C22D2" w14:textId="7D96E37A" w:rsidR="002C1A3B" w:rsidRPr="008C301D" w:rsidRDefault="002C1A3B" w:rsidP="002C1A3B">
      <w:pPr>
        <w:pStyle w:val="Heading2"/>
      </w:pPr>
      <w:bookmarkStart w:id="61" w:name="_Toc309291814"/>
      <w:bookmarkStart w:id="62" w:name="_Toc370225389"/>
      <w:bookmarkStart w:id="63" w:name="_Toc475101753"/>
      <w:bookmarkStart w:id="64" w:name="_Toc286391012"/>
      <w:bookmarkEnd w:id="60"/>
      <w:r>
        <w:t>2</w:t>
      </w:r>
      <w:r w:rsidRPr="008C301D">
        <w:t>.</w:t>
      </w:r>
      <w:r>
        <w:t>4</w:t>
      </w:r>
      <w:r w:rsidRPr="008C301D">
        <w:tab/>
        <w:t>Risk communication</w:t>
      </w:r>
      <w:bookmarkEnd w:id="61"/>
      <w:bookmarkEnd w:id="62"/>
      <w:bookmarkEnd w:id="63"/>
    </w:p>
    <w:p w14:paraId="4A4D1180" w14:textId="14A53DA2" w:rsidR="00F91764" w:rsidRPr="00FD2924" w:rsidRDefault="00F91764" w:rsidP="00F91764">
      <w:pPr>
        <w:pStyle w:val="Heading3"/>
      </w:pPr>
      <w:bookmarkStart w:id="65" w:name="_Toc475101754"/>
      <w:bookmarkStart w:id="66" w:name="_Toc300933437"/>
      <w:bookmarkStart w:id="67" w:name="_Toc370223475"/>
      <w:bookmarkStart w:id="68" w:name="_Toc370225390"/>
      <w:r w:rsidRPr="00FD2924">
        <w:t>2.4.1</w:t>
      </w:r>
      <w:r w:rsidRPr="00FD2924">
        <w:tab/>
      </w:r>
      <w:r>
        <w:t>Communication Strategy</w:t>
      </w:r>
      <w:bookmarkEnd w:id="65"/>
    </w:p>
    <w:p w14:paraId="5448763A" w14:textId="078514B7" w:rsidR="00405E12" w:rsidRDefault="00405E12" w:rsidP="00405E12">
      <w:pPr>
        <w:pStyle w:val="Heading3"/>
        <w:spacing w:before="0" w:after="0"/>
        <w:ind w:left="0" w:firstLine="0"/>
        <w:rPr>
          <w:b w:val="0"/>
        </w:rPr>
      </w:pPr>
      <w:r w:rsidRPr="00405E12">
        <w:rPr>
          <w:b w:val="0"/>
        </w:rPr>
        <w:t>FSANZ has ad</w:t>
      </w:r>
      <w:r>
        <w:rPr>
          <w:b w:val="0"/>
        </w:rPr>
        <w:t>o</w:t>
      </w:r>
      <w:r w:rsidRPr="00405E12">
        <w:rPr>
          <w:b w:val="0"/>
        </w:rPr>
        <w:t xml:space="preserve">pted a basic communication strategy for this </w:t>
      </w:r>
      <w:r>
        <w:rPr>
          <w:b w:val="0"/>
        </w:rPr>
        <w:t>Application</w:t>
      </w:r>
      <w:r w:rsidR="001373E9">
        <w:rPr>
          <w:b w:val="0"/>
        </w:rPr>
        <w:t xml:space="preserve"> and</w:t>
      </w:r>
      <w:r w:rsidR="00B92367">
        <w:rPr>
          <w:b w:val="0"/>
        </w:rPr>
        <w:t xml:space="preserve"> </w:t>
      </w:r>
      <w:r>
        <w:rPr>
          <w:b w:val="0"/>
        </w:rPr>
        <w:t xml:space="preserve">has developed a communication </w:t>
      </w:r>
      <w:r w:rsidR="001373E9">
        <w:rPr>
          <w:b w:val="0"/>
        </w:rPr>
        <w:t>plan</w:t>
      </w:r>
      <w:r>
        <w:rPr>
          <w:b w:val="0"/>
        </w:rPr>
        <w:t xml:space="preserve"> for stakeholders</w:t>
      </w:r>
      <w:r w:rsidR="001373E9">
        <w:rPr>
          <w:b w:val="0"/>
        </w:rPr>
        <w:t xml:space="preserve">. The </w:t>
      </w:r>
      <w:r w:rsidR="00140F62">
        <w:rPr>
          <w:b w:val="0"/>
        </w:rPr>
        <w:t xml:space="preserve">key messages </w:t>
      </w:r>
      <w:r w:rsidR="001373E9">
        <w:rPr>
          <w:b w:val="0"/>
        </w:rPr>
        <w:t>highlight</w:t>
      </w:r>
      <w:r>
        <w:rPr>
          <w:b w:val="0"/>
        </w:rPr>
        <w:t xml:space="preserve"> </w:t>
      </w:r>
      <w:r w:rsidR="00B92367">
        <w:rPr>
          <w:b w:val="0"/>
        </w:rPr>
        <w:t>the low level</w:t>
      </w:r>
      <w:r w:rsidR="00AB2030">
        <w:rPr>
          <w:b w:val="0"/>
        </w:rPr>
        <w:t>s</w:t>
      </w:r>
      <w:r w:rsidR="00B92367">
        <w:rPr>
          <w:b w:val="0"/>
        </w:rPr>
        <w:t xml:space="preserve"> of avilamycin </w:t>
      </w:r>
      <w:r w:rsidR="001373E9">
        <w:rPr>
          <w:b w:val="0"/>
        </w:rPr>
        <w:t xml:space="preserve">residues </w:t>
      </w:r>
      <w:r w:rsidR="00B92367">
        <w:rPr>
          <w:b w:val="0"/>
        </w:rPr>
        <w:t xml:space="preserve">in the specified pig commodities and the negligible risk </w:t>
      </w:r>
      <w:r w:rsidR="001373E9">
        <w:rPr>
          <w:b w:val="0"/>
        </w:rPr>
        <w:t xml:space="preserve">they pose </w:t>
      </w:r>
      <w:r w:rsidR="00B92367">
        <w:rPr>
          <w:b w:val="0"/>
        </w:rPr>
        <w:t xml:space="preserve">to the development of antimicrobial resistance because the residues are not biologically active and the </w:t>
      </w:r>
      <w:r w:rsidR="00140F62">
        <w:rPr>
          <w:b w:val="0"/>
        </w:rPr>
        <w:t>avilamycin</w:t>
      </w:r>
      <w:r w:rsidR="00B92367">
        <w:rPr>
          <w:b w:val="0"/>
        </w:rPr>
        <w:t xml:space="preserve"> is not used in human medicine.</w:t>
      </w:r>
    </w:p>
    <w:p w14:paraId="70E0B7F7" w14:textId="29352EFC" w:rsidR="002C1A3B" w:rsidRPr="00FD2924" w:rsidRDefault="002C1A3B" w:rsidP="002C1A3B">
      <w:pPr>
        <w:pStyle w:val="Heading3"/>
      </w:pPr>
      <w:bookmarkStart w:id="69" w:name="_Toc475101755"/>
      <w:r w:rsidRPr="00FD2924">
        <w:t>2.4.</w:t>
      </w:r>
      <w:r w:rsidR="00F91764">
        <w:t>2</w:t>
      </w:r>
      <w:r w:rsidRPr="00FD2924">
        <w:tab/>
        <w:t>Consultation</w:t>
      </w:r>
      <w:bookmarkEnd w:id="66"/>
      <w:bookmarkEnd w:id="67"/>
      <w:bookmarkEnd w:id="68"/>
      <w:bookmarkEnd w:id="69"/>
    </w:p>
    <w:p w14:paraId="77FE6B39" w14:textId="393DD5BC" w:rsidR="002C1A3B" w:rsidRPr="00A670A7" w:rsidRDefault="002C1A3B" w:rsidP="002C1A3B">
      <w:pPr>
        <w:rPr>
          <w:szCs w:val="22"/>
        </w:rPr>
      </w:pPr>
      <w:r w:rsidRPr="00A670A7">
        <w:rPr>
          <w:szCs w:val="22"/>
        </w:rPr>
        <w:t>Consultation is a key part of FSANZ’s</w:t>
      </w:r>
      <w:r w:rsidR="00957692">
        <w:rPr>
          <w:szCs w:val="22"/>
        </w:rPr>
        <w:t xml:space="preserve"> standards development process.</w:t>
      </w:r>
    </w:p>
    <w:p w14:paraId="19EF596C" w14:textId="77777777" w:rsidR="00165258" w:rsidRDefault="00165258" w:rsidP="00165258">
      <w:pPr>
        <w:rPr>
          <w:lang w:eastAsia="en-GB" w:bidi="ar-SA"/>
        </w:rPr>
      </w:pPr>
    </w:p>
    <w:p w14:paraId="0E465144" w14:textId="20C028E8" w:rsidR="008F531F" w:rsidRDefault="00165258" w:rsidP="00165258">
      <w:pPr>
        <w:rPr>
          <w:color w:val="000000" w:themeColor="text1"/>
        </w:rPr>
      </w:pPr>
      <w:r w:rsidRPr="008B0887">
        <w:rPr>
          <w:lang w:eastAsia="en-GB" w:bidi="ar-SA"/>
        </w:rPr>
        <w:t xml:space="preserve">FSANZ </w:t>
      </w:r>
      <w:r w:rsidR="007333C0">
        <w:rPr>
          <w:color w:val="000000" w:themeColor="text1"/>
        </w:rPr>
        <w:t xml:space="preserve">called for public comment on proposed changes to the Code to help finalise the assessment. </w:t>
      </w:r>
      <w:proofErr w:type="gramStart"/>
      <w:r w:rsidR="007333C0">
        <w:rPr>
          <w:color w:val="000000" w:themeColor="text1"/>
        </w:rPr>
        <w:t xml:space="preserve">Submissions were called for on 7 November 2016 for a </w:t>
      </w:r>
      <w:r w:rsidR="00E2159A">
        <w:rPr>
          <w:color w:val="000000" w:themeColor="text1"/>
        </w:rPr>
        <w:t>four-week consultation period and</w:t>
      </w:r>
      <w:r w:rsidR="00B54EF0">
        <w:rPr>
          <w:color w:val="000000" w:themeColor="text1"/>
        </w:rPr>
        <w:t xml:space="preserve"> </w:t>
      </w:r>
      <w:r w:rsidR="00405E12">
        <w:rPr>
          <w:color w:val="000000" w:themeColor="text1"/>
        </w:rPr>
        <w:t>was</w:t>
      </w:r>
      <w:proofErr w:type="gramEnd"/>
      <w:r w:rsidR="00405E12">
        <w:rPr>
          <w:color w:val="000000" w:themeColor="text1"/>
        </w:rPr>
        <w:t xml:space="preserve"> notified via the FSANZ Notification Circular, media release, and Food Standards News. O</w:t>
      </w:r>
      <w:r w:rsidR="00B54EF0">
        <w:rPr>
          <w:color w:val="000000" w:themeColor="text1"/>
        </w:rPr>
        <w:t>ne submission was received and one late comment</w:t>
      </w:r>
      <w:r w:rsidR="00405E12">
        <w:rPr>
          <w:color w:val="000000" w:themeColor="text1"/>
        </w:rPr>
        <w:t xml:space="preserve"> from domestic stakeholders</w:t>
      </w:r>
      <w:r w:rsidR="00B54EF0">
        <w:rPr>
          <w:color w:val="000000" w:themeColor="text1"/>
        </w:rPr>
        <w:t xml:space="preserve">. </w:t>
      </w:r>
      <w:r w:rsidR="008F531F">
        <w:rPr>
          <w:color w:val="000000" w:themeColor="text1"/>
        </w:rPr>
        <w:br w:type="page"/>
      </w:r>
    </w:p>
    <w:p w14:paraId="7EF992B3" w14:textId="01C94C2E" w:rsidR="00F03DBF" w:rsidRPr="002C1A3B" w:rsidRDefault="00F03DBF" w:rsidP="00F03DBF">
      <w:pPr>
        <w:rPr>
          <w:szCs w:val="22"/>
        </w:rPr>
      </w:pPr>
      <w:r w:rsidRPr="002C1A3B">
        <w:rPr>
          <w:szCs w:val="22"/>
        </w:rPr>
        <w:lastRenderedPageBreak/>
        <w:t>FSANZ acknowledges the time taken by individuals and organisations to make submissions on this</w:t>
      </w:r>
      <w:r w:rsidRPr="00A670A7">
        <w:rPr>
          <w:color w:val="00B050"/>
          <w:szCs w:val="22"/>
        </w:rPr>
        <w:t xml:space="preserve"> </w:t>
      </w:r>
      <w:r w:rsidRPr="00FD2924">
        <w:rPr>
          <w:szCs w:val="22"/>
        </w:rPr>
        <w:t xml:space="preserve">Application. </w:t>
      </w:r>
      <w:r w:rsidR="00B11B4A" w:rsidRPr="008B0887">
        <w:rPr>
          <w:lang w:eastAsia="en-GB" w:bidi="ar-SA"/>
        </w:rPr>
        <w:t xml:space="preserve">All comments </w:t>
      </w:r>
      <w:r w:rsidR="00B11B4A">
        <w:rPr>
          <w:lang w:eastAsia="en-GB" w:bidi="ar-SA"/>
        </w:rPr>
        <w:t>were</w:t>
      </w:r>
      <w:r w:rsidR="00B11B4A" w:rsidRPr="008B0887">
        <w:rPr>
          <w:lang w:eastAsia="en-GB" w:bidi="ar-SA"/>
        </w:rPr>
        <w:t xml:space="preserve"> welcome</w:t>
      </w:r>
      <w:r w:rsidR="00B11B4A">
        <w:rPr>
          <w:lang w:eastAsia="en-GB" w:bidi="ar-SA"/>
        </w:rPr>
        <w:t>d on the proposed variation to the Code</w:t>
      </w:r>
      <w:r w:rsidR="00B11B4A" w:rsidRPr="002C1A3B">
        <w:rPr>
          <w:szCs w:val="22"/>
        </w:rPr>
        <w:t xml:space="preserve"> </w:t>
      </w:r>
      <w:r w:rsidR="00E2159A">
        <w:rPr>
          <w:szCs w:val="22"/>
        </w:rPr>
        <w:t>and both</w:t>
      </w:r>
      <w:r w:rsidRPr="002C1A3B">
        <w:rPr>
          <w:szCs w:val="22"/>
        </w:rPr>
        <w:t xml:space="preserve"> submission</w:t>
      </w:r>
      <w:r w:rsidR="00E2159A">
        <w:rPr>
          <w:szCs w:val="22"/>
        </w:rPr>
        <w:t>s received</w:t>
      </w:r>
      <w:r w:rsidRPr="002C1A3B">
        <w:rPr>
          <w:szCs w:val="22"/>
        </w:rPr>
        <w:t xml:space="preserve"> on</w:t>
      </w:r>
      <w:r w:rsidR="00E2159A">
        <w:rPr>
          <w:szCs w:val="22"/>
        </w:rPr>
        <w:t xml:space="preserve"> the application were</w:t>
      </w:r>
      <w:r>
        <w:rPr>
          <w:szCs w:val="22"/>
        </w:rPr>
        <w:t xml:space="preserve">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w:t>
      </w:r>
      <w:r w:rsidR="00957692">
        <w:rPr>
          <w:szCs w:val="22"/>
        </w:rPr>
        <w:t>o the rigour of our assessment.</w:t>
      </w:r>
    </w:p>
    <w:p w14:paraId="2E9A936C" w14:textId="3D3D4623" w:rsidR="002C1A3B" w:rsidRPr="00EE04A9" w:rsidRDefault="002C1A3B" w:rsidP="002C1A3B">
      <w:pPr>
        <w:pStyle w:val="Heading3"/>
      </w:pPr>
      <w:bookmarkStart w:id="70" w:name="_Toc370225391"/>
      <w:bookmarkStart w:id="71" w:name="_Toc475101756"/>
      <w:bookmarkStart w:id="72" w:name="_Toc175381455"/>
      <w:bookmarkEnd w:id="36"/>
      <w:bookmarkEnd w:id="37"/>
      <w:bookmarkEnd w:id="38"/>
      <w:bookmarkEnd w:id="39"/>
      <w:bookmarkEnd w:id="40"/>
      <w:bookmarkEnd w:id="41"/>
      <w:bookmarkEnd w:id="64"/>
      <w:r w:rsidRPr="00EE04A9">
        <w:t>2.4.</w:t>
      </w:r>
      <w:r w:rsidR="00F91764">
        <w:t>3</w:t>
      </w:r>
      <w:r w:rsidRPr="00EE04A9">
        <w:tab/>
        <w:t>World Trade Organization (WTO)</w:t>
      </w:r>
      <w:bookmarkEnd w:id="70"/>
      <w:bookmarkEnd w:id="71"/>
    </w:p>
    <w:p w14:paraId="7B165A0B" w14:textId="422A7A55" w:rsidR="002C1A3B" w:rsidRDefault="002C1A3B" w:rsidP="002C1A3B">
      <w:pPr>
        <w:rPr>
          <w:rFonts w:cs="Arial"/>
        </w:rPr>
      </w:pPr>
      <w:r w:rsidRPr="00EE04A9">
        <w:rPr>
          <w:rFonts w:cs="Arial"/>
        </w:rPr>
        <w:t xml:space="preserve">As </w:t>
      </w:r>
      <w:r w:rsidR="00030601">
        <w:rPr>
          <w:rFonts w:cs="Arial"/>
        </w:rPr>
        <w:t xml:space="preserve">a </w:t>
      </w:r>
      <w:r w:rsidRPr="00EE04A9">
        <w:rPr>
          <w:rFonts w:cs="Arial"/>
        </w:rPr>
        <w:t xml:space="preserve">member of the World Trade Organization (WTO), Australia </w:t>
      </w:r>
      <w:r w:rsidR="00030601">
        <w:rPr>
          <w:rFonts w:cs="Arial"/>
        </w:rPr>
        <w:t xml:space="preserve">is </w:t>
      </w:r>
      <w:r w:rsidRPr="00EE04A9">
        <w:rPr>
          <w:rFonts w:cs="Arial"/>
        </w:rPr>
        <w:t xml:space="preserve">obligated to notify WTO member nations where proposed mandatory regulatory measures are inconsistent with any existing or imminent international standards and </w:t>
      </w:r>
      <w:r w:rsidR="00030601">
        <w:rPr>
          <w:rFonts w:cs="Arial"/>
        </w:rPr>
        <w:t xml:space="preserve">where </w:t>
      </w:r>
      <w:r w:rsidRPr="00EE04A9">
        <w:rPr>
          <w:rFonts w:cs="Arial"/>
        </w:rPr>
        <w:t>the proposed measure may have a significant effect on trade.</w:t>
      </w:r>
    </w:p>
    <w:p w14:paraId="27D95297" w14:textId="22A0A496" w:rsidR="00DD1BC1" w:rsidRDefault="00DD1BC1" w:rsidP="002C1A3B">
      <w:pPr>
        <w:rPr>
          <w:rFonts w:cs="Arial"/>
        </w:rPr>
      </w:pPr>
    </w:p>
    <w:p w14:paraId="6F5798E8" w14:textId="3799EE47" w:rsidR="00DD1BC1" w:rsidRDefault="00DD1BC1" w:rsidP="00DD1BC1">
      <w:pPr>
        <w:rPr>
          <w:rFonts w:cs="Arial"/>
        </w:rPr>
      </w:pPr>
      <w:r>
        <w:rPr>
          <w:rFonts w:cs="Arial"/>
        </w:rPr>
        <w:t xml:space="preserve">In terms of this Application, FSANZ was satisfied that the proposed measures were not inconsistent with </w:t>
      </w:r>
      <w:r w:rsidRPr="00EE04A9">
        <w:rPr>
          <w:rFonts w:cs="Arial"/>
        </w:rPr>
        <w:t xml:space="preserve">existing </w:t>
      </w:r>
      <w:r w:rsidR="00B43CAD">
        <w:rPr>
          <w:rFonts w:cs="Arial"/>
        </w:rPr>
        <w:t>international S</w:t>
      </w:r>
      <w:r>
        <w:rPr>
          <w:rFonts w:cs="Arial"/>
        </w:rPr>
        <w:t xml:space="preserve">tandards. FSANZ was also satisfied that the </w:t>
      </w:r>
      <w:r w:rsidRPr="00EE04A9">
        <w:rPr>
          <w:rFonts w:cs="Arial"/>
        </w:rPr>
        <w:t xml:space="preserve">proposed measure </w:t>
      </w:r>
      <w:r>
        <w:rPr>
          <w:rFonts w:cs="Arial"/>
        </w:rPr>
        <w:t>would be unlikely to</w:t>
      </w:r>
      <w:r w:rsidRPr="00EE04A9">
        <w:rPr>
          <w:rFonts w:cs="Arial"/>
        </w:rPr>
        <w:t xml:space="preserve"> have a significant effect on trade</w:t>
      </w:r>
      <w:r>
        <w:rPr>
          <w:rFonts w:cs="Arial"/>
        </w:rPr>
        <w:t>.</w:t>
      </w:r>
    </w:p>
    <w:p w14:paraId="0E91FD3C" w14:textId="77777777" w:rsidR="00DD1BC1" w:rsidRDefault="00DD1BC1" w:rsidP="00DD1BC1">
      <w:pPr>
        <w:rPr>
          <w:rFonts w:cs="Arial"/>
        </w:rPr>
      </w:pPr>
    </w:p>
    <w:p w14:paraId="11ACB181" w14:textId="367FC842" w:rsidR="00DD1BC1" w:rsidRDefault="00DD1BC1" w:rsidP="00DD1BC1">
      <w:pPr>
        <w:rPr>
          <w:rFonts w:cs="Arial"/>
        </w:rPr>
      </w:pPr>
      <w:r>
        <w:rPr>
          <w:rFonts w:cs="Arial"/>
        </w:rPr>
        <w:t>However, FSANZ still issued a</w:t>
      </w:r>
      <w:r w:rsidRPr="00EE04A9">
        <w:rPr>
          <w:noProof/>
        </w:rPr>
        <w:t xml:space="preserve"> WTO </w:t>
      </w:r>
      <w:r>
        <w:rPr>
          <w:noProof/>
        </w:rPr>
        <w:t xml:space="preserve">notification in relation to this Application in accordance with the WTO Agreement on the Application of Sanitary and Phytosanitary Measures. FSANZ did so as </w:t>
      </w:r>
      <w:r>
        <w:rPr>
          <w:rFonts w:cs="Arial"/>
        </w:rPr>
        <w:t>t</w:t>
      </w:r>
      <w:r w:rsidRPr="00DC6570">
        <w:rPr>
          <w:rFonts w:cs="Arial"/>
        </w:rPr>
        <w:t xml:space="preserve">here </w:t>
      </w:r>
      <w:r>
        <w:rPr>
          <w:rFonts w:cs="Arial"/>
        </w:rPr>
        <w:t>are existing</w:t>
      </w:r>
      <w:r w:rsidR="00B43CAD">
        <w:rPr>
          <w:rFonts w:cs="Arial"/>
        </w:rPr>
        <w:t xml:space="preserve"> relevant international S</w:t>
      </w:r>
      <w:r w:rsidRPr="00CB2F6A">
        <w:rPr>
          <w:rFonts w:cs="Arial"/>
        </w:rPr>
        <w:t>tandards</w:t>
      </w:r>
      <w:r>
        <w:rPr>
          <w:rFonts w:cs="Arial"/>
        </w:rPr>
        <w:t>. A</w:t>
      </w:r>
      <w:r w:rsidRPr="00CB2F6A">
        <w:rPr>
          <w:rFonts w:cs="Arial"/>
        </w:rPr>
        <w:t xml:space="preserve">mending the Code to include MRLs </w:t>
      </w:r>
      <w:r>
        <w:rPr>
          <w:rFonts w:cs="Arial"/>
        </w:rPr>
        <w:t>for avilamycin residues in specific pig commodities would also be a trade-liberalising measure which harmo</w:t>
      </w:r>
      <w:r w:rsidR="00B43CAD">
        <w:rPr>
          <w:rFonts w:cs="Arial"/>
        </w:rPr>
        <w:t>nised with Codex international S</w:t>
      </w:r>
      <w:r>
        <w:rPr>
          <w:rFonts w:cs="Arial"/>
        </w:rPr>
        <w:t xml:space="preserve">tandards. MRLs prescribed in the Code constitute a mandatory requirement applying to all food products of a particular class whether produced domestically or imported. Food products which exceed limits prescribed in the Code cannot legally be sold in Australia.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24582E">
        <w:rPr>
          <w:rFonts w:cs="Arial"/>
          <w:iCs/>
        </w:rPr>
        <w:t xml:space="preserve">obligations under the WTO </w:t>
      </w:r>
      <w:r w:rsidRPr="00CB2F6A">
        <w:rPr>
          <w:rFonts w:cs="Arial"/>
          <w:iCs/>
        </w:rPr>
        <w:t xml:space="preserve">Application of Sanitary and Phytosanitary Measures </w:t>
      </w:r>
      <w:r>
        <w:rPr>
          <w:rFonts w:cs="Arial"/>
          <w:iCs/>
        </w:rPr>
        <w:t>Agreement</w:t>
      </w:r>
      <w:r w:rsidRPr="0024582E">
        <w:rPr>
          <w:rFonts w:cs="Arial"/>
          <w:iCs/>
        </w:rPr>
        <w:t xml:space="preserve"> </w:t>
      </w:r>
      <w:r>
        <w:rPr>
          <w:rFonts w:cs="Arial"/>
          <w:iCs/>
        </w:rPr>
        <w:t>was made</w:t>
      </w:r>
      <w:r w:rsidRPr="0024582E">
        <w:rPr>
          <w:rFonts w:cs="Arial"/>
          <w:iCs/>
        </w:rPr>
        <w:t xml:space="preserve"> to</w:t>
      </w:r>
      <w:r w:rsidRPr="0024582E">
        <w:rPr>
          <w:rFonts w:cs="Arial"/>
        </w:rPr>
        <w:t xml:space="preserve"> enable other WTO members to comment on the proposed amendments.</w:t>
      </w:r>
      <w:r>
        <w:rPr>
          <w:rFonts w:cs="Arial"/>
        </w:rPr>
        <w:t xml:space="preserve"> As Schedule 20 applies to Australia only, a notification by the New Zealand Government was not required.</w:t>
      </w:r>
    </w:p>
    <w:p w14:paraId="29225903" w14:textId="77777777" w:rsidR="00DD1BC1" w:rsidRDefault="00DD1BC1" w:rsidP="00DD1BC1">
      <w:pPr>
        <w:rPr>
          <w:rFonts w:cs="Arial"/>
        </w:rPr>
      </w:pPr>
    </w:p>
    <w:p w14:paraId="23894099" w14:textId="6EDA2E63" w:rsidR="002C1A3B" w:rsidRPr="00EE04A9" w:rsidRDefault="00DD1BC1" w:rsidP="002C1A3B">
      <w:pPr>
        <w:rPr>
          <w:rFonts w:cs="Arial"/>
        </w:rPr>
      </w:pPr>
      <w:r w:rsidRPr="00C55B28">
        <w:rPr>
          <w:noProof/>
        </w:rPr>
        <w:t>No WTO member nation provided comment on this Application</w:t>
      </w:r>
      <w:r w:rsidR="00C55B28" w:rsidRPr="00C55B28">
        <w:rPr>
          <w:noProof/>
        </w:rPr>
        <w:t>.</w:t>
      </w:r>
    </w:p>
    <w:p w14:paraId="3F31285C" w14:textId="77777777" w:rsidR="002C1A3B" w:rsidRPr="002C1A3B" w:rsidRDefault="002C1A3B" w:rsidP="002C1A3B">
      <w:pPr>
        <w:pStyle w:val="Heading2"/>
      </w:pPr>
      <w:bookmarkStart w:id="73" w:name="_Toc370223477"/>
      <w:bookmarkStart w:id="74" w:name="_Toc370225392"/>
      <w:bookmarkStart w:id="75" w:name="_Toc475101757"/>
      <w:bookmarkStart w:id="76" w:name="_Toc309291816"/>
      <w:bookmarkStart w:id="77" w:name="_Toc300933448"/>
      <w:bookmarkStart w:id="78" w:name="_Toc300933577"/>
      <w:bookmarkStart w:id="79" w:name="_Toc301535601"/>
      <w:bookmarkStart w:id="80" w:name="_Toc309385464"/>
      <w:bookmarkStart w:id="81" w:name="_Toc175381456"/>
      <w:bookmarkEnd w:id="72"/>
      <w:r w:rsidRPr="002C1A3B">
        <w:t>2.5</w:t>
      </w:r>
      <w:r w:rsidRPr="002C1A3B">
        <w:tab/>
        <w:t>FSANZ Act assessment requirements</w:t>
      </w:r>
      <w:bookmarkEnd w:id="73"/>
      <w:bookmarkEnd w:id="74"/>
      <w:bookmarkEnd w:id="75"/>
    </w:p>
    <w:p w14:paraId="5BE61CB9" w14:textId="1DAB914F" w:rsidR="002C1A3B" w:rsidRPr="002C1A3B" w:rsidRDefault="002C1A3B" w:rsidP="002C1A3B">
      <w:pPr>
        <w:pStyle w:val="Heading3"/>
      </w:pPr>
      <w:bookmarkStart w:id="82" w:name="_Toc370223478"/>
      <w:bookmarkStart w:id="83" w:name="_Toc370225393"/>
      <w:bookmarkStart w:id="84" w:name="_Toc475101758"/>
      <w:bookmarkEnd w:id="76"/>
      <w:bookmarkEnd w:id="77"/>
      <w:bookmarkEnd w:id="78"/>
      <w:bookmarkEnd w:id="79"/>
      <w:bookmarkEnd w:id="80"/>
      <w:r w:rsidRPr="002C1A3B">
        <w:t>2.5.1</w:t>
      </w:r>
      <w:r w:rsidRPr="002C1A3B">
        <w:tab/>
        <w:t xml:space="preserve">Section </w:t>
      </w:r>
      <w:r w:rsidRPr="00EE04A9">
        <w:t>29</w:t>
      </w:r>
      <w:bookmarkEnd w:id="82"/>
      <w:bookmarkEnd w:id="83"/>
      <w:bookmarkEnd w:id="84"/>
    </w:p>
    <w:p w14:paraId="25E8D41A"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2369AAE7" w14:textId="5C843FC0" w:rsidR="00F10AAD" w:rsidRDefault="00F10AAD" w:rsidP="00F10AAD">
      <w:r>
        <w:t xml:space="preserve">In 2010, the Office of Best Practice Regulation provided a standing exemption from the need to assess if a Regulation Impact Statement was required for applications relating to MRLs as they </w:t>
      </w:r>
      <w:r w:rsidR="00146245">
        <w:t>are</w:t>
      </w:r>
      <w:r>
        <w:t xml:space="preserve"> machinery in nature and their use </w:t>
      </w:r>
      <w:r w:rsidR="00146245">
        <w:t>is</w:t>
      </w:r>
      <w:r>
        <w:t xml:space="preserve"> voluntary (ID 12065).</w:t>
      </w:r>
    </w:p>
    <w:p w14:paraId="27CE206F" w14:textId="77777777" w:rsidR="00F10AAD" w:rsidRDefault="00F10AAD" w:rsidP="00F10AAD"/>
    <w:p w14:paraId="29BF04DD" w14:textId="4F1E44CF" w:rsidR="00F10AAD" w:rsidRDefault="00AB4C1E" w:rsidP="00F10AAD">
      <w:r>
        <w:t>How</w:t>
      </w:r>
      <w:r w:rsidR="001F3BFF">
        <w:t>e</w:t>
      </w:r>
      <w:r>
        <w:t>ver, FSANZ undertook a</w:t>
      </w:r>
      <w:r w:rsidR="00F10AAD">
        <w:t xml:space="preserve"> limited </w:t>
      </w:r>
      <w:r>
        <w:t xml:space="preserve">cost benefit </w:t>
      </w:r>
      <w:r w:rsidR="00761E63">
        <w:t>analysis t</w:t>
      </w:r>
      <w:r>
        <w:t xml:space="preserve">hat </w:t>
      </w:r>
      <w:r w:rsidR="00C52616">
        <w:t xml:space="preserve">indicated </w:t>
      </w:r>
      <w:r w:rsidR="00F10AAD">
        <w:t xml:space="preserve">the direct and indirect benefits to the community, </w:t>
      </w:r>
      <w:r w:rsidR="00F54482">
        <w:t>g</w:t>
      </w:r>
      <w:r w:rsidR="00F10AAD">
        <w:t>overnment or industry that would arise from varying the regulatory measure as a result of the application outweigh the costs.</w:t>
      </w:r>
    </w:p>
    <w:p w14:paraId="202A5127" w14:textId="77777777" w:rsidR="00F10AAD" w:rsidRDefault="00F10AAD" w:rsidP="00F10AAD"/>
    <w:p w14:paraId="127807DB" w14:textId="61152805" w:rsidR="00F10AAD" w:rsidRDefault="00F10AAD" w:rsidP="00F10AAD">
      <w:r>
        <w:t>The MRL variation benefits Australian Government, state and territory agencies and producers, in that it serves to minimise trade disruption, further h</w:t>
      </w:r>
      <w:r w:rsidR="00AA20E2">
        <w:t>armonise agricultural and food S</w:t>
      </w:r>
      <w:r>
        <w:t>tandards, and thereby facilitate efficient enforcement. Achieving further consistency between agriculture and food legislation will also minimise compliance costs to primary producers and permit the sale of foods containing legitimate residues.</w:t>
      </w:r>
    </w:p>
    <w:p w14:paraId="21D2295D" w14:textId="77777777" w:rsidR="00F10AAD" w:rsidRDefault="00F10AAD" w:rsidP="00F10AAD"/>
    <w:p w14:paraId="16898F3B" w14:textId="5E844584" w:rsidR="008F531F" w:rsidRDefault="00F10AAD" w:rsidP="00F10AAD">
      <w:r>
        <w:t xml:space="preserve">The approval of the MRLs in the Code may benefit importers and subsequently consumers in that this may extend the options to source safe foods. Conversely, importers and consequently consumers may be disadvantaged </w:t>
      </w:r>
      <w:r w:rsidR="00F54482">
        <w:t xml:space="preserve">if </w:t>
      </w:r>
      <w:r w:rsidR="00C52616">
        <w:t xml:space="preserve">the MRLs </w:t>
      </w:r>
      <w:r w:rsidR="00F54482">
        <w:t xml:space="preserve">are not </w:t>
      </w:r>
      <w:r w:rsidR="00C52616">
        <w:t xml:space="preserve">approved </w:t>
      </w:r>
      <w:r>
        <w:t>as this may unnecessarily limit sources of pig meat.</w:t>
      </w:r>
      <w:r w:rsidR="00121CBA">
        <w:t xml:space="preserve"> </w:t>
      </w:r>
      <w:r w:rsidR="008F531F">
        <w:br w:type="page"/>
      </w:r>
    </w:p>
    <w:p w14:paraId="500B78B1" w14:textId="42E75167" w:rsidR="003D07EE" w:rsidRPr="003A01FB" w:rsidRDefault="003D07EE" w:rsidP="003D07EE">
      <w:r>
        <w:lastRenderedPageBreak/>
        <w:t xml:space="preserve">The </w:t>
      </w:r>
      <w:r w:rsidRPr="00420E22">
        <w:rPr>
          <w:rFonts w:eastAsia="Calibri"/>
        </w:rPr>
        <w:t>draft variation</w:t>
      </w:r>
      <w:r>
        <w:t xml:space="preserve"> may generate a perceived negative impact on domestic producers as the chemical is not currently approved for use in Australia on the specified commodities. However, there is an avenue</w:t>
      </w:r>
      <w:r w:rsidR="00C445B6">
        <w:t xml:space="preserve"> available</w:t>
      </w:r>
      <w:r>
        <w:t xml:space="preserve"> for domestic producers to apply to use this product if required. </w:t>
      </w:r>
    </w:p>
    <w:p w14:paraId="15B76996" w14:textId="5B4360D9" w:rsidR="003D07EE" w:rsidRDefault="003D07EE" w:rsidP="00AB06A2"/>
    <w:p w14:paraId="0EA25FD1" w14:textId="2F93D05F" w:rsidR="002C1A3B" w:rsidRPr="002C1A3B" w:rsidRDefault="00F10AAD" w:rsidP="00AB06A2">
      <w:pPr>
        <w:rPr>
          <w:color w:val="00B050"/>
        </w:rPr>
      </w:pPr>
      <w:r>
        <w:t>By including a separate Avilamycin residue definition in the Code to enable the harmonisation with Codex MRLs for pig commodities, there may be a cost to importers for the</w:t>
      </w:r>
      <w:r w:rsidR="00FD0D2C">
        <w:t xml:space="preserve"> implementation of</w:t>
      </w:r>
      <w:r>
        <w:t xml:space="preserve"> </w:t>
      </w:r>
      <w:r w:rsidR="00FD0D2C">
        <w:t>existing</w:t>
      </w:r>
      <w:r>
        <w:t xml:space="preserve"> analytical test</w:t>
      </w:r>
      <w:r w:rsidR="0052674B">
        <w:t>s</w:t>
      </w:r>
      <w:r>
        <w:t xml:space="preserve"> </w:t>
      </w:r>
      <w:r w:rsidR="00FD0D2C">
        <w:t>for DIA.</w:t>
      </w:r>
      <w:r w:rsidR="00121CBA">
        <w:t xml:space="preserve"> </w:t>
      </w:r>
    </w:p>
    <w:p w14:paraId="06428230" w14:textId="77777777" w:rsidR="002C1A3B" w:rsidRPr="002C1A3B" w:rsidRDefault="002C1A3B" w:rsidP="002C1A3B">
      <w:pPr>
        <w:pStyle w:val="Heading4"/>
      </w:pPr>
      <w:r w:rsidRPr="00E111C2">
        <w:t>2.5.1.2</w:t>
      </w:r>
      <w:r w:rsidRPr="00E111C2">
        <w:tab/>
        <w:t>Other measures</w:t>
      </w:r>
    </w:p>
    <w:p w14:paraId="408913D3" w14:textId="75AFFC39" w:rsidR="002C1A3B" w:rsidRPr="00F65DBC" w:rsidRDefault="002C1A3B" w:rsidP="002C1A3B">
      <w:r w:rsidRPr="00F65DBC">
        <w:t>There are no other measures (whether available to FSANZ or not) that would be more cost-effective than a food regulatory measure varied as a result of the Application.</w:t>
      </w:r>
      <w:r w:rsidR="00AB4C1E">
        <w:t xml:space="preserve"> As explained above, the </w:t>
      </w:r>
      <w:r w:rsidR="00F13CFC">
        <w:t xml:space="preserve">current </w:t>
      </w:r>
      <w:r w:rsidR="00AB4C1E">
        <w:t xml:space="preserve">absence of an MRL for Avilamycin in </w:t>
      </w:r>
      <w:r w:rsidR="002C5A74">
        <w:t>pig commodities</w:t>
      </w:r>
      <w:r w:rsidR="00AB4C1E">
        <w:t xml:space="preserve"> means</w:t>
      </w:r>
      <w:r w:rsidR="00F13CFC">
        <w:t xml:space="preserve"> in effect</w:t>
      </w:r>
      <w:r w:rsidR="00AB4C1E">
        <w:t xml:space="preserve"> that the </w:t>
      </w:r>
      <w:r w:rsidR="00F13CFC">
        <w:t xml:space="preserve">importation and </w:t>
      </w:r>
      <w:r w:rsidR="00AB4C1E">
        <w:t>sale of those products is banned in Australia</w:t>
      </w:r>
      <w:r w:rsidR="00F13CFC">
        <w:t xml:space="preserve"> by Australian food law</w:t>
      </w:r>
      <w:r w:rsidR="00AB4C1E">
        <w:t>. The only measure available to end that ban is to provide an appropriate MRL.</w:t>
      </w:r>
    </w:p>
    <w:p w14:paraId="65CA5BD1" w14:textId="673FCA1C" w:rsidR="002C1A3B" w:rsidRPr="002C1A3B" w:rsidRDefault="002C1A3B" w:rsidP="002C1A3B">
      <w:pPr>
        <w:pStyle w:val="Heading4"/>
      </w:pPr>
      <w:r w:rsidRPr="002C1A3B">
        <w:t>2.</w:t>
      </w:r>
      <w:r w:rsidR="00AA20E2">
        <w:t>5.1.3</w:t>
      </w:r>
      <w:r w:rsidR="00AA20E2">
        <w:tab/>
        <w:t>Any relevant New Zealand S</w:t>
      </w:r>
      <w:r w:rsidRPr="002C1A3B">
        <w:t>tandards</w:t>
      </w:r>
    </w:p>
    <w:p w14:paraId="056152FE" w14:textId="1C8394E6" w:rsidR="007E5FC8" w:rsidRDefault="00AB694B" w:rsidP="007E5FC8">
      <w:pPr>
        <w:rPr>
          <w:lang w:bidi="ar-SA"/>
        </w:rPr>
      </w:pPr>
      <w:r>
        <w:rPr>
          <w:lang w:bidi="ar-SA"/>
        </w:rPr>
        <w:t>Sch</w:t>
      </w:r>
      <w:r w:rsidR="00AA20E2">
        <w:rPr>
          <w:lang w:bidi="ar-SA"/>
        </w:rPr>
        <w:t>edule 20 is an Australian only S</w:t>
      </w:r>
      <w:r>
        <w:rPr>
          <w:lang w:bidi="ar-SA"/>
        </w:rPr>
        <w:t>tandard.</w:t>
      </w:r>
    </w:p>
    <w:p w14:paraId="7481793E" w14:textId="77777777" w:rsidR="00146245" w:rsidRDefault="00146245" w:rsidP="007E5FC8">
      <w:pPr>
        <w:rPr>
          <w:lang w:bidi="ar-SA"/>
        </w:rPr>
      </w:pPr>
    </w:p>
    <w:p w14:paraId="5EBDB972" w14:textId="3FEB3011" w:rsidR="007E5FC8" w:rsidRPr="007E5FC8" w:rsidRDefault="007E5FC8" w:rsidP="007E5FC8">
      <w:pPr>
        <w:rPr>
          <w:lang w:bidi="ar-SA"/>
        </w:rPr>
      </w:pPr>
      <w:r w:rsidRPr="007E5FC8">
        <w:rPr>
          <w:lang w:bidi="ar-SA"/>
        </w:rPr>
        <w:t xml:space="preserve">The </w:t>
      </w:r>
      <w:r w:rsidRPr="007E5FC8">
        <w:rPr>
          <w:i/>
          <w:iCs/>
          <w:lang w:bidi="ar-SA"/>
        </w:rPr>
        <w:t xml:space="preserve">Agreement between the Government of Australia and the Government of New Zealand concerning a Joint Food Standards System </w:t>
      </w:r>
      <w:r w:rsidRPr="007E5FC8">
        <w:rPr>
          <w:lang w:bidi="ar-SA"/>
        </w:rPr>
        <w:t>(the Treaty) excludes MRLs for agvet chemicals in food from</w:t>
      </w:r>
      <w:r w:rsidR="00AA20E2">
        <w:rPr>
          <w:lang w:bidi="ar-SA"/>
        </w:rPr>
        <w:t xml:space="preserve"> the system setting joint food S</w:t>
      </w:r>
      <w:r w:rsidRPr="007E5FC8">
        <w:rPr>
          <w:lang w:bidi="ar-SA"/>
        </w:rPr>
        <w:t>tandards. Australia and New Zealand independently and separately develop MRLs for agvet chemicals in food.</w:t>
      </w:r>
    </w:p>
    <w:p w14:paraId="2F804440" w14:textId="77777777" w:rsidR="007E5FC8" w:rsidRPr="007E5FC8" w:rsidRDefault="007E5FC8" w:rsidP="007E5FC8">
      <w:pPr>
        <w:rPr>
          <w:lang w:bidi="ar-SA"/>
        </w:rPr>
      </w:pPr>
    </w:p>
    <w:p w14:paraId="66C70C10" w14:textId="32F5400C" w:rsidR="007E5FC8" w:rsidRPr="007E5FC8" w:rsidRDefault="007E5FC8" w:rsidP="007E5FC8">
      <w:pPr>
        <w:rPr>
          <w:lang w:bidi="ar-SA"/>
        </w:rPr>
      </w:pPr>
      <w:r w:rsidRPr="007E5FC8">
        <w:rPr>
          <w:lang w:bidi="ar-SA"/>
        </w:rPr>
        <w:t xml:space="preserve">All domestically produced food sold in New Zealand must comply with the </w:t>
      </w:r>
      <w:hyperlink r:id="rId25" w:history="1">
        <w:r w:rsidRPr="007E5FC8">
          <w:rPr>
            <w:rStyle w:val="Hyperlink"/>
            <w:lang w:bidi="ar-SA"/>
          </w:rPr>
          <w:t>New Zealand (Maximum Residue Limits of Agricultural Compounds) Food Standards 2012</w:t>
        </w:r>
      </w:hyperlink>
      <w:r w:rsidRPr="007E5FC8">
        <w:rPr>
          <w:vertAlign w:val="superscript"/>
          <w:lang w:bidi="ar-SA"/>
        </w:rPr>
        <w:footnoteReference w:id="14"/>
      </w:r>
      <w:r w:rsidRPr="007E5FC8">
        <w:rPr>
          <w:u w:val="single"/>
          <w:lang w:bidi="ar-SA"/>
        </w:rPr>
        <w:t xml:space="preserve"> </w:t>
      </w:r>
      <w:r w:rsidRPr="007E5FC8">
        <w:rPr>
          <w:lang w:bidi="ar-SA"/>
        </w:rPr>
        <w:t>and any amendments (the New Zealand MRL Standards).</w:t>
      </w:r>
    </w:p>
    <w:p w14:paraId="7D26A038" w14:textId="77777777" w:rsidR="007E5FC8" w:rsidRPr="007E5FC8" w:rsidRDefault="007E5FC8" w:rsidP="007E5FC8">
      <w:pPr>
        <w:rPr>
          <w:lang w:bidi="ar-SA"/>
        </w:rPr>
      </w:pPr>
    </w:p>
    <w:p w14:paraId="4DDD7F73" w14:textId="77777777" w:rsidR="007E5FC8" w:rsidRPr="007E5FC8" w:rsidRDefault="007E5FC8" w:rsidP="007E5FC8">
      <w:pPr>
        <w:rPr>
          <w:lang w:bidi="ar-SA"/>
        </w:rPr>
      </w:pPr>
      <w:r w:rsidRPr="007E5FC8">
        <w:rPr>
          <w:lang w:bidi="ar-SA"/>
        </w:rPr>
        <w:t>There is an exception for food imported into New Zealand from Australia. This food is subject to the Trans-Tasman Mutual Recognition Arrangement (TTMRA). The TTMRA provides that this food can be sold in New Zealand if it complies with Australian requirements. The result is that food imported into New Zealand from Australia must comply with any one of the following: the New Zealand MRL Standards; the Codex MRLs; or the Code and its MRLs. The TTMRA also provides that food exported from New Zealand to Australia can be sold in Australia if it complies with New Zealand requirements.</w:t>
      </w:r>
    </w:p>
    <w:p w14:paraId="456F4966" w14:textId="77777777" w:rsidR="007E5FC8" w:rsidRPr="007E5FC8" w:rsidRDefault="007E5FC8" w:rsidP="007E5FC8">
      <w:pPr>
        <w:rPr>
          <w:lang w:bidi="ar-SA"/>
        </w:rPr>
      </w:pPr>
    </w:p>
    <w:p w14:paraId="595FBA1A" w14:textId="77777777" w:rsidR="007E5FC8" w:rsidRPr="007E5FC8" w:rsidRDefault="007E5FC8" w:rsidP="007E5FC8">
      <w:pPr>
        <w:rPr>
          <w:lang w:bidi="ar-SA"/>
        </w:rPr>
      </w:pPr>
      <w:r w:rsidRPr="007E5FC8">
        <w:rPr>
          <w:lang w:bidi="ar-SA"/>
        </w:rPr>
        <w:t>Under the New Zealand MRL Standards, agricultural chemical residues in food must comply with the specific MRLs listed in the Standards. The New Zealand MRL Standards also include a provision for residues of up to 0.1 mg/kg for agricultural chemical-commodity combinations not specifically listed.</w:t>
      </w:r>
    </w:p>
    <w:p w14:paraId="48734E70" w14:textId="77777777" w:rsidR="007E5FC8" w:rsidRPr="007E5FC8" w:rsidRDefault="007E5FC8" w:rsidP="007E5FC8">
      <w:pPr>
        <w:rPr>
          <w:lang w:bidi="ar-SA"/>
        </w:rPr>
      </w:pPr>
    </w:p>
    <w:p w14:paraId="7F1A8E7B" w14:textId="0A94F41C" w:rsidR="00AB694B" w:rsidRDefault="007E5FC8" w:rsidP="007E5FC8">
      <w:pPr>
        <w:rPr>
          <w:lang w:bidi="ar-SA"/>
        </w:rPr>
      </w:pPr>
      <w:r w:rsidRPr="007E5FC8">
        <w:rPr>
          <w:lang w:bidi="ar-SA"/>
        </w:rPr>
        <w:t>Limits in the Code and in the New Zealand MRL Standards may differ for a number of legitimate reasons including differing use patterns for chemical products as a result of varying pest and disease pressures and varying climatic conditions.</w:t>
      </w:r>
    </w:p>
    <w:p w14:paraId="43C14829" w14:textId="77777777" w:rsidR="002C1A3B" w:rsidRPr="002C1A3B" w:rsidRDefault="002C1A3B" w:rsidP="002C1A3B">
      <w:pPr>
        <w:pStyle w:val="Heading4"/>
      </w:pPr>
      <w:r w:rsidRPr="002C1A3B">
        <w:t>2.5.1.4</w:t>
      </w:r>
      <w:r w:rsidRPr="002C1A3B">
        <w:tab/>
        <w:t>Any other relevant matters</w:t>
      </w:r>
    </w:p>
    <w:p w14:paraId="41E8163D" w14:textId="3457F872" w:rsidR="008F531F" w:rsidRDefault="001F7F63" w:rsidP="001F7F63">
      <w:pPr>
        <w:rPr>
          <w:lang w:bidi="ar-SA"/>
        </w:rPr>
      </w:pPr>
      <w:bookmarkStart w:id="85" w:name="_Toc370223479"/>
      <w:bookmarkStart w:id="86" w:name="_Toc370225394"/>
      <w:bookmarkStart w:id="87" w:name="_Toc300761897"/>
      <w:bookmarkStart w:id="88" w:name="_Toc300933440"/>
      <w:r>
        <w:t>Other relevant matters are considered below</w:t>
      </w:r>
      <w:r>
        <w:rPr>
          <w:lang w:bidi="ar-SA"/>
        </w:rPr>
        <w:t>.</w:t>
      </w:r>
      <w:r w:rsidR="008F531F">
        <w:rPr>
          <w:lang w:bidi="ar-SA"/>
        </w:rPr>
        <w:br w:type="page"/>
      </w:r>
    </w:p>
    <w:p w14:paraId="7FA9F3FA" w14:textId="7FF091B2" w:rsidR="002C1A3B" w:rsidRPr="002C1A3B" w:rsidRDefault="002C1A3B" w:rsidP="002C1A3B">
      <w:pPr>
        <w:pStyle w:val="Heading3"/>
      </w:pPr>
      <w:bookmarkStart w:id="89" w:name="_Toc475101759"/>
      <w:r w:rsidRPr="002C1A3B">
        <w:lastRenderedPageBreak/>
        <w:t>2.5.2.</w:t>
      </w:r>
      <w:r w:rsidRPr="002C1A3B">
        <w:tab/>
        <w:t>Subsection 18(1)</w:t>
      </w:r>
      <w:bookmarkEnd w:id="85"/>
      <w:bookmarkEnd w:id="86"/>
      <w:bookmarkEnd w:id="87"/>
      <w:bookmarkEnd w:id="88"/>
      <w:bookmarkEnd w:id="89"/>
    </w:p>
    <w:p w14:paraId="3601CB8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DE926A5" w14:textId="77777777" w:rsidR="002C1A3B" w:rsidRPr="002C1A3B" w:rsidRDefault="002C1A3B" w:rsidP="002C1A3B">
      <w:pPr>
        <w:pStyle w:val="Heading4"/>
        <w:rPr>
          <w:lang w:eastAsia="en-AU"/>
        </w:rPr>
      </w:pPr>
      <w:bookmarkStart w:id="90" w:name="_Toc297029117"/>
      <w:bookmarkStart w:id="91" w:name="_Toc300761898"/>
      <w:bookmarkStart w:id="92" w:name="_Toc300933441"/>
      <w:r w:rsidRPr="002C1A3B">
        <w:rPr>
          <w:lang w:eastAsia="en-AU"/>
        </w:rPr>
        <w:t>2.5.2.1</w:t>
      </w:r>
      <w:r w:rsidRPr="002C1A3B">
        <w:rPr>
          <w:lang w:eastAsia="en-AU"/>
        </w:rPr>
        <w:tab/>
        <w:t>Protection of public health and safety</w:t>
      </w:r>
      <w:bookmarkEnd w:id="90"/>
      <w:bookmarkEnd w:id="91"/>
      <w:bookmarkEnd w:id="92"/>
    </w:p>
    <w:p w14:paraId="0F97DDF8" w14:textId="70E65538" w:rsidR="00662A68" w:rsidRPr="00ED7C67" w:rsidRDefault="00662A68" w:rsidP="00662A68">
      <w:bookmarkStart w:id="93" w:name="_Toc300761899"/>
      <w:bookmarkStart w:id="94" w:name="_Toc300933442"/>
      <w:r w:rsidRPr="00ED7C67">
        <w:t xml:space="preserve">FSANZ conducted </w:t>
      </w:r>
      <w:r>
        <w:t xml:space="preserve">a risk assessment </w:t>
      </w:r>
      <w:r w:rsidRPr="00ED7C67">
        <w:t xml:space="preserve">to assess the </w:t>
      </w:r>
      <w:r>
        <w:t>safety</w:t>
      </w:r>
      <w:r w:rsidRPr="00ED7C67">
        <w:t xml:space="preserve"> of MRLs requested by Elanco Animal Health. </w:t>
      </w:r>
      <w:r>
        <w:t>The DEA, undertaken u</w:t>
      </w:r>
      <w:r w:rsidRPr="00ED7C67">
        <w:t xml:space="preserve">sing the best available scientific data and internationally recognised risk assessment methodology, concluded that MRLs </w:t>
      </w:r>
      <w:r>
        <w:t xml:space="preserve">at 0.2 mg/kg and 0.3 mg/kg </w:t>
      </w:r>
      <w:r w:rsidRPr="007D70F6">
        <w:t>with t</w:t>
      </w:r>
      <w:r>
        <w:t xml:space="preserve">he proposed residue definition </w:t>
      </w:r>
      <w:r w:rsidRPr="007D70F6">
        <w:t xml:space="preserve">measured as </w:t>
      </w:r>
      <w:r>
        <w:t>DIA</w:t>
      </w:r>
      <w:r w:rsidRPr="00ED7C67">
        <w:t xml:space="preserve"> do</w:t>
      </w:r>
      <w:r w:rsidR="000802D4">
        <w:t>es</w:t>
      </w:r>
      <w:r w:rsidRPr="00ED7C67">
        <w:t xml:space="preserve"> not present any pub</w:t>
      </w:r>
      <w:r>
        <w:t xml:space="preserve">lic health and safety concerns. </w:t>
      </w:r>
      <w:r w:rsidRPr="00ED7C67">
        <w:t>FSANZ also conclude</w:t>
      </w:r>
      <w:r>
        <w:t>d</w:t>
      </w:r>
      <w:r w:rsidRPr="00ED7C67">
        <w:t xml:space="preserve"> </w:t>
      </w:r>
      <w:r>
        <w:t xml:space="preserve">the </w:t>
      </w:r>
      <w:r w:rsidR="004A7CD4">
        <w:t>approved</w:t>
      </w:r>
      <w:r>
        <w:t xml:space="preserve"> MRLs </w:t>
      </w:r>
      <w:r w:rsidRPr="00E111C2">
        <w:t>present a</w:t>
      </w:r>
      <w:r w:rsidR="002441B0" w:rsidRPr="00E111C2">
        <w:t xml:space="preserve"> negligible</w:t>
      </w:r>
      <w:r w:rsidRPr="00E111C2">
        <w:t xml:space="preserve"> microbiological risk to consumers.</w:t>
      </w:r>
    </w:p>
    <w:p w14:paraId="678B701B"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3"/>
      <w:bookmarkEnd w:id="94"/>
    </w:p>
    <w:p w14:paraId="6B589A4A" w14:textId="1A5132EF" w:rsidR="002C1A3B" w:rsidRPr="002C1A3B" w:rsidRDefault="00662A68" w:rsidP="002C1A3B">
      <w:pPr>
        <w:rPr>
          <w:color w:val="00B050"/>
        </w:rPr>
      </w:pPr>
      <w:r w:rsidRPr="00ED7C67">
        <w:t xml:space="preserve">This objective is not relevant to matters under consideration in this </w:t>
      </w:r>
      <w:r w:rsidRPr="00662A68">
        <w:t>Application.</w:t>
      </w:r>
    </w:p>
    <w:p w14:paraId="41240AF5" w14:textId="77777777" w:rsidR="002C1A3B" w:rsidRPr="002C1A3B" w:rsidRDefault="002C1A3B" w:rsidP="002C1A3B">
      <w:pPr>
        <w:pStyle w:val="Heading4"/>
        <w:rPr>
          <w:lang w:eastAsia="en-AU"/>
        </w:rPr>
      </w:pPr>
      <w:bookmarkStart w:id="95" w:name="_Toc300761900"/>
      <w:bookmarkStart w:id="96" w:name="_Toc300933443"/>
      <w:r w:rsidRPr="002C1A3B">
        <w:rPr>
          <w:lang w:eastAsia="en-AU"/>
        </w:rPr>
        <w:t>2.5.2.3</w:t>
      </w:r>
      <w:r w:rsidRPr="002C1A3B">
        <w:rPr>
          <w:lang w:eastAsia="en-AU"/>
        </w:rPr>
        <w:tab/>
        <w:t>The prevention of misleading or deceptive conduct</w:t>
      </w:r>
      <w:bookmarkEnd w:id="95"/>
      <w:bookmarkEnd w:id="96"/>
    </w:p>
    <w:p w14:paraId="1EC53F6F" w14:textId="442978B0" w:rsidR="002C1A3B" w:rsidRPr="002C1A3B" w:rsidRDefault="00662A68" w:rsidP="002C1A3B">
      <w:pPr>
        <w:rPr>
          <w:color w:val="00B050"/>
        </w:rPr>
      </w:pPr>
      <w:r w:rsidRPr="00ED7C67">
        <w:t xml:space="preserve">In Australia, compliance with the Code for all foods is monitored by food authorities in the </w:t>
      </w:r>
      <w:r w:rsidR="00401252">
        <w:t>s</w:t>
      </w:r>
      <w:r w:rsidRPr="00ED7C67">
        <w:t xml:space="preserve">tates and </w:t>
      </w:r>
      <w:r w:rsidR="00401252">
        <w:t>t</w:t>
      </w:r>
      <w:r w:rsidRPr="00ED7C67">
        <w:t>erritories and Department of Agriculture and Water Resources</w:t>
      </w:r>
      <w:r w:rsidR="000802D4">
        <w:t xml:space="preserve"> for food at the border</w:t>
      </w:r>
      <w:r w:rsidRPr="00ED7C67">
        <w:t xml:space="preserve">. </w:t>
      </w:r>
      <w:r w:rsidR="002C5A74">
        <w:t>Appropriate t</w:t>
      </w:r>
      <w:r w:rsidRPr="00ED7C67">
        <w:t>esting</w:t>
      </w:r>
      <w:r w:rsidR="002C5A74">
        <w:t xml:space="preserve"> methodologies</w:t>
      </w:r>
      <w:r w:rsidRPr="00ED7C67">
        <w:t xml:space="preserve"> and surveillance of chemical residues</w:t>
      </w:r>
      <w:r w:rsidR="002C5A74">
        <w:t xml:space="preserve"> </w:t>
      </w:r>
      <w:r w:rsidR="00AB5EA3">
        <w:t>is available</w:t>
      </w:r>
      <w:r w:rsidR="002C5A74">
        <w:t xml:space="preserve"> and</w:t>
      </w:r>
      <w:r w:rsidRPr="00ED7C67">
        <w:t xml:space="preserve"> is undertaken to ensure imported foods are compliant with MRLs established in the Code. No other issues were identified for this Applicat</w:t>
      </w:r>
      <w:r>
        <w:t>ion relevant to this objective.</w:t>
      </w:r>
    </w:p>
    <w:p w14:paraId="101F446B" w14:textId="77777777" w:rsidR="002C1A3B" w:rsidRPr="002C1A3B" w:rsidRDefault="002C1A3B" w:rsidP="002C1A3B">
      <w:pPr>
        <w:keepNext/>
        <w:spacing w:before="240" w:after="240"/>
        <w:ind w:left="851" w:hanging="851"/>
        <w:outlineLvl w:val="2"/>
        <w:rPr>
          <w:b/>
          <w:bCs/>
          <w:lang w:eastAsia="en-AU" w:bidi="ar-SA"/>
        </w:rPr>
      </w:pPr>
      <w:bookmarkStart w:id="97" w:name="_Toc300761901"/>
      <w:bookmarkStart w:id="98" w:name="_Toc300933444"/>
      <w:bookmarkStart w:id="99" w:name="_Toc370223480"/>
      <w:bookmarkStart w:id="100" w:name="_Toc370225395"/>
      <w:r w:rsidRPr="002C1A3B">
        <w:rPr>
          <w:b/>
          <w:bCs/>
          <w:lang w:eastAsia="en-AU" w:bidi="ar-SA"/>
        </w:rPr>
        <w:t>2.5.3</w:t>
      </w:r>
      <w:r w:rsidRPr="002C1A3B">
        <w:rPr>
          <w:b/>
          <w:bCs/>
          <w:lang w:eastAsia="en-AU" w:bidi="ar-SA"/>
        </w:rPr>
        <w:tab/>
        <w:t xml:space="preserve">Subsection 18(2) </w:t>
      </w:r>
      <w:bookmarkEnd w:id="97"/>
      <w:bookmarkEnd w:id="98"/>
      <w:r w:rsidRPr="002C1A3B">
        <w:rPr>
          <w:b/>
          <w:bCs/>
          <w:lang w:eastAsia="en-AU" w:bidi="ar-SA"/>
        </w:rPr>
        <w:t>considerations</w:t>
      </w:r>
      <w:bookmarkEnd w:id="99"/>
      <w:bookmarkEnd w:id="100"/>
    </w:p>
    <w:p w14:paraId="1A906E1A" w14:textId="77777777" w:rsidR="002C1A3B" w:rsidRPr="002C1A3B" w:rsidRDefault="002C1A3B" w:rsidP="002C1A3B">
      <w:pPr>
        <w:rPr>
          <w:rFonts w:cs="Arial"/>
        </w:rPr>
      </w:pPr>
      <w:r w:rsidRPr="002C1A3B">
        <w:rPr>
          <w:rFonts w:cs="Arial"/>
        </w:rPr>
        <w:t>FSANZ has also had regard to:</w:t>
      </w:r>
    </w:p>
    <w:p w14:paraId="31DC9BE3" w14:textId="77777777" w:rsidR="002C1A3B" w:rsidRPr="002C1A3B" w:rsidRDefault="002C1A3B" w:rsidP="002C1A3B">
      <w:pPr>
        <w:rPr>
          <w:rFonts w:cs="Arial"/>
        </w:rPr>
      </w:pPr>
    </w:p>
    <w:p w14:paraId="77550F08" w14:textId="2CC0A584" w:rsidR="002C1A3B" w:rsidRPr="002C1A3B" w:rsidRDefault="00AA20E2" w:rsidP="002C1A3B">
      <w:pPr>
        <w:pStyle w:val="FSBullet1"/>
        <w:rPr>
          <w:b/>
        </w:rPr>
      </w:pPr>
      <w:r>
        <w:rPr>
          <w:b/>
        </w:rPr>
        <w:t>the need for S</w:t>
      </w:r>
      <w:r w:rsidR="002C1A3B" w:rsidRPr="002C1A3B">
        <w:rPr>
          <w:b/>
        </w:rPr>
        <w:t>tandards to be based on risk analysis using the best available scientific evidence</w:t>
      </w:r>
    </w:p>
    <w:p w14:paraId="152E8F42" w14:textId="77777777" w:rsidR="002C1A3B" w:rsidRPr="002C1A3B" w:rsidRDefault="002C1A3B" w:rsidP="002C1A3B">
      <w:pPr>
        <w:rPr>
          <w:lang w:bidi="ar-SA"/>
        </w:rPr>
      </w:pPr>
    </w:p>
    <w:p w14:paraId="2338AD61" w14:textId="1197EF97" w:rsidR="004A7CD4" w:rsidRDefault="004A7CD4" w:rsidP="004A7CD4">
      <w:pPr>
        <w:ind w:right="-428"/>
      </w:pPr>
      <w:r>
        <w:t>The variation to the Code is based on a thorough risk assessment that used the best available scientific evidence.</w:t>
      </w:r>
    </w:p>
    <w:p w14:paraId="506038A1" w14:textId="77777777" w:rsidR="004A7CD4" w:rsidRDefault="004A7CD4" w:rsidP="004A7CD4"/>
    <w:p w14:paraId="166962E4" w14:textId="3A82048A" w:rsidR="004A7CD4" w:rsidRDefault="004A7CD4" w:rsidP="004A7CD4">
      <w:r w:rsidRPr="00ED7C67">
        <w:t xml:space="preserve">FSANZ’s primary role in developing food regulatory measures for residues of agvet chemicals in food is to ensure that estimated dietary exposures to potential residues are within HBGVs. As described in Section </w:t>
      </w:r>
      <w:r>
        <w:rPr>
          <w:lang w:eastAsia="en-AU"/>
        </w:rPr>
        <w:t>2.</w:t>
      </w:r>
      <w:r w:rsidR="009856FA">
        <w:rPr>
          <w:lang w:eastAsia="en-AU"/>
        </w:rPr>
        <w:t>5</w:t>
      </w:r>
      <w:r>
        <w:rPr>
          <w:lang w:eastAsia="en-AU"/>
        </w:rPr>
        <w:t>.2</w:t>
      </w:r>
      <w:r w:rsidRPr="00914030">
        <w:rPr>
          <w:lang w:eastAsia="en-AU"/>
        </w:rPr>
        <w:t>.1</w:t>
      </w:r>
      <w:r w:rsidRPr="00ED7C67">
        <w:t>, FSANZ conducts DEAs using Australian food consumption data and internationally recognis</w:t>
      </w:r>
      <w:r>
        <w:t>ed risk assessment methodologies.</w:t>
      </w:r>
    </w:p>
    <w:p w14:paraId="6403759B" w14:textId="77777777" w:rsidR="004A7CD4" w:rsidRDefault="004A7CD4" w:rsidP="004A7CD4"/>
    <w:p w14:paraId="73C39EA9" w14:textId="31B2814A" w:rsidR="004A7CD4" w:rsidRPr="00ED7C67" w:rsidRDefault="004A7CD4" w:rsidP="004A7CD4">
      <w:r>
        <w:t>FSANZ has also had regard to the best available scientific evidence when recommending the inclusion of a separate residue definition for pig commodity MRLs for avilamycin. Risk assessment advice</w:t>
      </w:r>
      <w:r w:rsidR="00B1309D">
        <w:t xml:space="preserve"> and international assessments supported </w:t>
      </w:r>
      <w:r w:rsidR="00401252">
        <w:t xml:space="preserve">including </w:t>
      </w:r>
      <w:r>
        <w:t xml:space="preserve">a different residue definition (DIA) </w:t>
      </w:r>
      <w:r w:rsidR="0081651D">
        <w:t xml:space="preserve">than that included for </w:t>
      </w:r>
      <w:r>
        <w:t>poultry MRLs currently established in the Code</w:t>
      </w:r>
      <w:r w:rsidR="0081651D">
        <w:t>.</w:t>
      </w:r>
      <w:r w:rsidR="0081651D" w:rsidDel="0081651D">
        <w:t xml:space="preserve"> </w:t>
      </w:r>
    </w:p>
    <w:p w14:paraId="01177C36" w14:textId="77777777" w:rsidR="002C1A3B" w:rsidRPr="002C1A3B" w:rsidRDefault="002C1A3B" w:rsidP="002C1A3B">
      <w:pPr>
        <w:rPr>
          <w:lang w:bidi="ar-SA"/>
        </w:rPr>
      </w:pPr>
    </w:p>
    <w:p w14:paraId="7D04CC4D" w14:textId="2D0247D4" w:rsidR="002C1A3B" w:rsidRPr="002C1A3B" w:rsidRDefault="002C1A3B" w:rsidP="002C1A3B">
      <w:pPr>
        <w:pStyle w:val="FSBullet1"/>
        <w:rPr>
          <w:b/>
        </w:rPr>
      </w:pPr>
      <w:r w:rsidRPr="002C1A3B">
        <w:rPr>
          <w:b/>
        </w:rPr>
        <w:t>the promotion of consistency between d</w:t>
      </w:r>
      <w:r w:rsidR="00AA20E2">
        <w:rPr>
          <w:b/>
        </w:rPr>
        <w:t>omestic and international food S</w:t>
      </w:r>
      <w:r w:rsidRPr="002C1A3B">
        <w:rPr>
          <w:b/>
        </w:rPr>
        <w:t>tandards</w:t>
      </w:r>
    </w:p>
    <w:p w14:paraId="3C1E9804" w14:textId="77777777" w:rsidR="002C1A3B" w:rsidRPr="002C1A3B" w:rsidRDefault="002C1A3B" w:rsidP="002C1A3B">
      <w:pPr>
        <w:rPr>
          <w:lang w:bidi="ar-SA"/>
        </w:rPr>
      </w:pPr>
    </w:p>
    <w:p w14:paraId="7CBAA1FF" w14:textId="29448F66" w:rsidR="008F531F" w:rsidRDefault="004A7CD4" w:rsidP="002C1A3B">
      <w:r w:rsidRPr="00ED7C67">
        <w:t xml:space="preserve">The </w:t>
      </w:r>
      <w:r>
        <w:t>approved</w:t>
      </w:r>
      <w:r w:rsidRPr="00ED7C67">
        <w:t xml:space="preserve"> MRL variations w</w:t>
      </w:r>
      <w:r>
        <w:t>ill</w:t>
      </w:r>
      <w:r w:rsidRPr="00ED7C67">
        <w:t xml:space="preserve"> further align the Code with Codex and other</w:t>
      </w:r>
      <w:r w:rsidR="00AA20E2">
        <w:t xml:space="preserve"> international trading partner S</w:t>
      </w:r>
      <w:r w:rsidRPr="00ED7C67">
        <w:t xml:space="preserve">tandards. </w:t>
      </w:r>
      <w:r w:rsidR="00401252">
        <w:t>Varying</w:t>
      </w:r>
      <w:r>
        <w:t xml:space="preserve"> the Code also provides a consistent approach to addressing where agvet chemicals are used differently in other countries due to variations in pests, diseases and environmental factors. This means that residues in imported foods may legitimately differ from those </w:t>
      </w:r>
      <w:r w:rsidR="00957692">
        <w:t>in domestically produced foods.</w:t>
      </w:r>
      <w:r w:rsidR="008F531F">
        <w:br w:type="page"/>
      </w:r>
    </w:p>
    <w:p w14:paraId="6EB51F51" w14:textId="77777777" w:rsidR="002C1A3B" w:rsidRPr="002C1A3B" w:rsidRDefault="002C1A3B" w:rsidP="002C1A3B">
      <w:pPr>
        <w:pStyle w:val="FSBullet1"/>
        <w:rPr>
          <w:b/>
        </w:rPr>
      </w:pPr>
      <w:r w:rsidRPr="002C1A3B">
        <w:rPr>
          <w:b/>
        </w:rPr>
        <w:lastRenderedPageBreak/>
        <w:t>the desirability of an efficient and internationally competitive food industry</w:t>
      </w:r>
    </w:p>
    <w:p w14:paraId="357F52EC" w14:textId="77777777" w:rsidR="002C1A3B" w:rsidRPr="002C1A3B" w:rsidRDefault="002C1A3B" w:rsidP="002C1A3B">
      <w:pPr>
        <w:rPr>
          <w:lang w:bidi="ar-SA"/>
        </w:rPr>
      </w:pPr>
    </w:p>
    <w:p w14:paraId="1FE26B9A" w14:textId="203DDC83" w:rsidR="00F3501E" w:rsidRPr="00ED7C67" w:rsidRDefault="00F3501E" w:rsidP="00F3501E">
      <w:r w:rsidRPr="00ED7C67">
        <w:t xml:space="preserve">The </w:t>
      </w:r>
      <w:r>
        <w:t>approved</w:t>
      </w:r>
      <w:r w:rsidRPr="00ED7C67">
        <w:t xml:space="preserve"> MRL variation</w:t>
      </w:r>
      <w:r>
        <w:t xml:space="preserve"> provides clarity and transparency on MRLs for avilamycin </w:t>
      </w:r>
      <w:r w:rsidR="009D4F0A">
        <w:t xml:space="preserve">use in </w:t>
      </w:r>
      <w:r>
        <w:t xml:space="preserve">pig commodities. It facilitates trade </w:t>
      </w:r>
      <w:r w:rsidR="00401252">
        <w:t>by adding</w:t>
      </w:r>
      <w:r>
        <w:t xml:space="preserve"> MRLs in Schedule 20 for certain pig </w:t>
      </w:r>
      <w:r w:rsidRPr="002C026F">
        <w:t xml:space="preserve">commodities, </w:t>
      </w:r>
      <w:r w:rsidRPr="00885B83">
        <w:t xml:space="preserve">where </w:t>
      </w:r>
      <w:r w:rsidRPr="008948D4">
        <w:t xml:space="preserve">otherwise </w:t>
      </w:r>
      <w:r w:rsidRPr="00316660">
        <w:rPr>
          <w:rFonts w:cs="Arial"/>
        </w:rPr>
        <w:t xml:space="preserve">a zero tolerance </w:t>
      </w:r>
      <w:r>
        <w:rPr>
          <w:rFonts w:cs="Arial"/>
        </w:rPr>
        <w:t xml:space="preserve">approach to residues </w:t>
      </w:r>
      <w:r w:rsidRPr="00316660">
        <w:rPr>
          <w:rFonts w:cs="Arial"/>
        </w:rPr>
        <w:t>(i.e. no detectable residue) would apply.</w:t>
      </w:r>
    </w:p>
    <w:p w14:paraId="5269350A" w14:textId="77777777" w:rsidR="002C1A3B" w:rsidRPr="002C1A3B" w:rsidRDefault="002C1A3B" w:rsidP="002C1A3B">
      <w:pPr>
        <w:rPr>
          <w:lang w:bidi="ar-SA"/>
        </w:rPr>
      </w:pPr>
    </w:p>
    <w:p w14:paraId="29249F6B" w14:textId="77777777" w:rsidR="002C1A3B" w:rsidRPr="002C1A3B" w:rsidRDefault="002C1A3B" w:rsidP="002C1A3B">
      <w:pPr>
        <w:pStyle w:val="FSBullet1"/>
        <w:rPr>
          <w:b/>
        </w:rPr>
      </w:pPr>
      <w:r w:rsidRPr="002C1A3B">
        <w:rPr>
          <w:b/>
        </w:rPr>
        <w:t>the promotion of fair trading in food</w:t>
      </w:r>
    </w:p>
    <w:p w14:paraId="7D049D17" w14:textId="77777777" w:rsidR="002C1A3B" w:rsidRPr="002C1A3B" w:rsidRDefault="002C1A3B" w:rsidP="002C1A3B">
      <w:pPr>
        <w:rPr>
          <w:lang w:bidi="ar-SA"/>
        </w:rPr>
      </w:pPr>
    </w:p>
    <w:p w14:paraId="24B82A9F" w14:textId="211DD9C8" w:rsidR="00F3501E" w:rsidRDefault="00F3501E" w:rsidP="00F3501E">
      <w:r w:rsidRPr="00ED7C67">
        <w:t>Section</w:t>
      </w:r>
      <w:r w:rsidR="000802D4">
        <w:t>s</w:t>
      </w:r>
      <w:r w:rsidRPr="00ED7C67">
        <w:t xml:space="preserve"> </w:t>
      </w:r>
      <w:r>
        <w:t>2.</w:t>
      </w:r>
      <w:r w:rsidR="009856FA">
        <w:t>5</w:t>
      </w:r>
      <w:r>
        <w:t>.1.1 and 2.</w:t>
      </w:r>
      <w:r w:rsidR="009856FA">
        <w:t>5</w:t>
      </w:r>
      <w:r>
        <w:t>.3</w:t>
      </w:r>
      <w:r w:rsidRPr="00ED7C67">
        <w:t xml:space="preserve"> list a numb</w:t>
      </w:r>
      <w:r>
        <w:t>e</w:t>
      </w:r>
      <w:r w:rsidRPr="00ED7C67">
        <w:t>r of considerations that address fair trading with respect to variation</w:t>
      </w:r>
      <w:r>
        <w:t>s to MRLS for this Application.</w:t>
      </w:r>
    </w:p>
    <w:p w14:paraId="4847E7BC" w14:textId="77777777" w:rsidR="00F3501E" w:rsidRDefault="00F3501E" w:rsidP="00F3501E"/>
    <w:p w14:paraId="73E0E175" w14:textId="7ED279A7" w:rsidR="00146245" w:rsidRDefault="00F3501E" w:rsidP="002C1A3B">
      <w:r>
        <w:t>FSANZ’s assessment did not identify any further is</w:t>
      </w:r>
      <w:r w:rsidR="008F531F">
        <w:t>sues relevant to this criterion,</w:t>
      </w:r>
    </w:p>
    <w:p w14:paraId="50F9161F" w14:textId="77777777" w:rsidR="008F531F" w:rsidRPr="00D60825" w:rsidRDefault="008F531F" w:rsidP="002C1A3B">
      <w:pPr>
        <w:rPr>
          <w:color w:val="00B050"/>
        </w:rPr>
      </w:pPr>
    </w:p>
    <w:p w14:paraId="0A7780B6"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25917CBE" w14:textId="77777777" w:rsidR="002C1A3B" w:rsidRPr="002C1A3B" w:rsidRDefault="002C1A3B" w:rsidP="002C1A3B">
      <w:pPr>
        <w:rPr>
          <w:lang w:bidi="ar-SA"/>
        </w:rPr>
      </w:pPr>
    </w:p>
    <w:p w14:paraId="548EE808" w14:textId="26E1AEBE" w:rsidR="00F3501E" w:rsidRDefault="00F3501E" w:rsidP="00F3501E">
      <w:pPr>
        <w:ind w:right="-2"/>
      </w:pPr>
      <w:r w:rsidRPr="00ED7C67">
        <w:t>The</w:t>
      </w:r>
      <w:r>
        <w:t xml:space="preserve"> variation to the Code was developed with </w:t>
      </w:r>
      <w:r w:rsidRPr="00ED7C67">
        <w:t xml:space="preserve">regard to the </w:t>
      </w:r>
      <w:hyperlink r:id="rId26" w:history="1">
        <w:r w:rsidR="008F531F">
          <w:rPr>
            <w:rStyle w:val="Hyperlink"/>
          </w:rPr>
          <w:t>Ministerial Policy Guideline on the Regulation of Residues of Agricultural and Veterinary Chemicals in Food</w:t>
        </w:r>
      </w:hyperlink>
      <w:r w:rsidR="008F531F">
        <w:rPr>
          <w:rStyle w:val="FootnoteReference"/>
        </w:rPr>
        <w:footnoteReference w:id="15"/>
      </w:r>
      <w:r>
        <w:rPr>
          <w:i/>
        </w:rPr>
        <w:t xml:space="preserve">. </w:t>
      </w:r>
      <w:r w:rsidRPr="003B635E">
        <w:t>The approach addresses:</w:t>
      </w:r>
    </w:p>
    <w:p w14:paraId="096867EE" w14:textId="77777777" w:rsidR="00F3501E" w:rsidRDefault="00F3501E" w:rsidP="00F3501E">
      <w:pPr>
        <w:rPr>
          <w:i/>
        </w:rPr>
      </w:pPr>
    </w:p>
    <w:p w14:paraId="0567D3F4" w14:textId="77777777" w:rsidR="00F3501E" w:rsidRDefault="00F3501E" w:rsidP="004B3E05">
      <w:pPr>
        <w:pStyle w:val="FSBullet1"/>
        <w:numPr>
          <w:ilvl w:val="0"/>
          <w:numId w:val="4"/>
        </w:numPr>
        <w:ind w:left="567" w:hanging="567"/>
      </w:pPr>
      <w:r>
        <w:t xml:space="preserve">the </w:t>
      </w:r>
      <w:r w:rsidRPr="00ED7C67">
        <w:t>need to promote a consistent approach to MRLs for both domestic and imported foods, where appropriate</w:t>
      </w:r>
    </w:p>
    <w:p w14:paraId="7B3AFDD8" w14:textId="77777777" w:rsidR="00F3501E" w:rsidRDefault="00F3501E" w:rsidP="004B3E05">
      <w:pPr>
        <w:pStyle w:val="FSBullet1"/>
        <w:numPr>
          <w:ilvl w:val="0"/>
          <w:numId w:val="4"/>
        </w:numPr>
        <w:ind w:left="567" w:hanging="567"/>
      </w:pPr>
      <w:r w:rsidRPr="00ED7C67">
        <w:t>the need to be consistent with Australia’s obligations under the WTO Sanitary and Phytosani</w:t>
      </w:r>
      <w:r>
        <w:t>tary Agreement (SPS Agreement)</w:t>
      </w:r>
    </w:p>
    <w:p w14:paraId="596B4875" w14:textId="69E63B1D" w:rsidR="002C1A3B" w:rsidRPr="00957692" w:rsidRDefault="00F3501E" w:rsidP="004B3E05">
      <w:pPr>
        <w:pStyle w:val="FSBullet1"/>
        <w:numPr>
          <w:ilvl w:val="0"/>
          <w:numId w:val="4"/>
        </w:numPr>
        <w:ind w:left="567" w:hanging="567"/>
      </w:pPr>
      <w:proofErr w:type="gramStart"/>
      <w:r>
        <w:t>not</w:t>
      </w:r>
      <w:proofErr w:type="gramEnd"/>
      <w:r>
        <w:t xml:space="preserve"> reduce the capacity of governments to prohibit the presence of any residue of a particular chemical in food where it would present an unacceptable public health risk.</w:t>
      </w:r>
    </w:p>
    <w:p w14:paraId="24660C71" w14:textId="114C2914" w:rsidR="0012388D" w:rsidRDefault="00D15A08" w:rsidP="006C22A7">
      <w:pPr>
        <w:spacing w:before="240"/>
        <w:rPr>
          <w:b/>
          <w:sz w:val="28"/>
          <w:szCs w:val="28"/>
        </w:rPr>
      </w:pPr>
      <w:bookmarkStart w:id="101" w:name="_Toc11735643"/>
      <w:bookmarkStart w:id="102" w:name="_Toc29883130"/>
      <w:bookmarkStart w:id="103" w:name="_Toc41906817"/>
      <w:bookmarkStart w:id="104" w:name="_Toc41907564"/>
      <w:bookmarkStart w:id="105" w:name="_Toc43112360"/>
      <w:bookmarkEnd w:id="81"/>
      <w:r w:rsidRPr="006C22A7">
        <w:rPr>
          <w:b/>
          <w:sz w:val="28"/>
          <w:szCs w:val="28"/>
        </w:rPr>
        <w:t>A</w:t>
      </w:r>
      <w:bookmarkEnd w:id="101"/>
      <w:bookmarkEnd w:id="102"/>
      <w:bookmarkEnd w:id="103"/>
      <w:bookmarkEnd w:id="104"/>
      <w:bookmarkEnd w:id="105"/>
      <w:r w:rsidR="00B21055">
        <w:rPr>
          <w:b/>
          <w:sz w:val="28"/>
          <w:szCs w:val="28"/>
        </w:rPr>
        <w:t>ttachments</w:t>
      </w:r>
    </w:p>
    <w:p w14:paraId="79F805A4" w14:textId="77777777" w:rsidR="006C22A7" w:rsidRDefault="006C22A7" w:rsidP="00755F02"/>
    <w:p w14:paraId="3AFD666E" w14:textId="4D059B4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p>
    <w:p w14:paraId="264F5B8F" w14:textId="43E97FC7" w:rsidR="00456BD5" w:rsidRDefault="00456BD5" w:rsidP="00456BD5">
      <w:pPr>
        <w:ind w:left="567" w:hanging="567"/>
      </w:pPr>
      <w:r w:rsidRPr="00456BD5">
        <w:t>B</w:t>
      </w:r>
      <w:r w:rsidR="00755F02" w:rsidRPr="00456BD5">
        <w:t>.</w:t>
      </w:r>
      <w:r w:rsidR="00755F02" w:rsidRPr="00456BD5">
        <w:tab/>
      </w:r>
      <w:r w:rsidR="00957692">
        <w:t>Explanatory Statement</w:t>
      </w:r>
    </w:p>
    <w:p w14:paraId="0EDEE04E" w14:textId="49EB701B" w:rsidR="00456BD5" w:rsidRPr="00456BD5" w:rsidRDefault="003C4969" w:rsidP="00456BD5">
      <w:pPr>
        <w:pStyle w:val="Heading2"/>
        <w:ind w:left="0" w:firstLine="0"/>
      </w:pPr>
      <w:r w:rsidRPr="00932F14">
        <w:br w:type="page"/>
      </w:r>
      <w:bookmarkStart w:id="106" w:name="_Toc29883131"/>
      <w:bookmarkStart w:id="107" w:name="_Toc41906818"/>
      <w:bookmarkStart w:id="108" w:name="_Toc41907565"/>
      <w:bookmarkStart w:id="109" w:name="_Toc120358596"/>
      <w:bookmarkStart w:id="110" w:name="_Toc175381458"/>
      <w:bookmarkStart w:id="111" w:name="_Toc11735644"/>
      <w:bookmarkStart w:id="112" w:name="_Toc475101760"/>
      <w:r w:rsidRPr="00932F14">
        <w:lastRenderedPageBreak/>
        <w:t xml:space="preserve">Attachment </w:t>
      </w:r>
      <w:bookmarkEnd w:id="106"/>
      <w:bookmarkEnd w:id="107"/>
      <w:bookmarkEnd w:id="108"/>
      <w:bookmarkEnd w:id="109"/>
      <w:bookmarkEnd w:id="110"/>
      <w:r w:rsidR="00456B54">
        <w:t>A</w:t>
      </w:r>
      <w:bookmarkStart w:id="113" w:name="_Toc120358597"/>
      <w:bookmarkStart w:id="114" w:name="_Toc175381459"/>
      <w:bookmarkEnd w:id="111"/>
      <w:r w:rsidR="00755F02">
        <w:t xml:space="preserve"> –</w:t>
      </w:r>
      <w:bookmarkStart w:id="115" w:name="_Toc120358598"/>
      <w:bookmarkStart w:id="116" w:name="_Toc175381460"/>
      <w:bookmarkEnd w:id="113"/>
      <w:bookmarkEnd w:id="11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12"/>
    </w:p>
    <w:p w14:paraId="3226947B" w14:textId="1EBFD9EF" w:rsidR="00CC0FF3" w:rsidRPr="00C0014E" w:rsidRDefault="00CC0FF3" w:rsidP="00CC0FF3">
      <w:pPr>
        <w:rPr>
          <w:noProof/>
          <w:sz w:val="20"/>
          <w:lang w:val="en-AU" w:eastAsia="en-AU"/>
        </w:rPr>
      </w:pPr>
      <w:r w:rsidRPr="00C0014E">
        <w:rPr>
          <w:noProof/>
          <w:sz w:val="20"/>
          <w:lang w:eastAsia="en-GB" w:bidi="ar-SA"/>
        </w:rPr>
        <w:drawing>
          <wp:inline distT="0" distB="0" distL="0" distR="0" wp14:anchorId="6219D823" wp14:editId="148594D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1AF932" w14:textId="77777777" w:rsidR="00CC0FF3" w:rsidRPr="006153A1" w:rsidRDefault="00CC0FF3" w:rsidP="00CC0FF3">
      <w:pPr>
        <w:pBdr>
          <w:bottom w:val="single" w:sz="4" w:space="1" w:color="auto"/>
        </w:pBdr>
        <w:rPr>
          <w:b/>
          <w:bCs/>
          <w:szCs w:val="20"/>
        </w:rPr>
      </w:pPr>
    </w:p>
    <w:p w14:paraId="5ED6A3B7" w14:textId="77777777" w:rsidR="00CC0FF3" w:rsidRDefault="00CC0FF3" w:rsidP="00CC0FF3">
      <w:pPr>
        <w:pBdr>
          <w:bottom w:val="single" w:sz="4" w:space="1" w:color="auto"/>
        </w:pBdr>
        <w:rPr>
          <w:b/>
          <w:sz w:val="20"/>
        </w:rPr>
      </w:pPr>
      <w:r w:rsidRPr="006153A1">
        <w:rPr>
          <w:b/>
          <w:sz w:val="20"/>
        </w:rPr>
        <w:t>Food Standards (</w:t>
      </w:r>
      <w:r>
        <w:rPr>
          <w:b/>
          <w:sz w:val="20"/>
        </w:rPr>
        <w:t>Application</w:t>
      </w:r>
      <w:r w:rsidRPr="00F618DF">
        <w:rPr>
          <w:b/>
          <w:sz w:val="20"/>
        </w:rPr>
        <w:t xml:space="preserve"> </w:t>
      </w:r>
      <w:r>
        <w:rPr>
          <w:b/>
          <w:sz w:val="20"/>
        </w:rPr>
        <w:t>A1133</w:t>
      </w:r>
      <w:r w:rsidRPr="00F618DF">
        <w:rPr>
          <w:b/>
          <w:sz w:val="20"/>
        </w:rPr>
        <w:t xml:space="preserve"> </w:t>
      </w:r>
      <w:r w:rsidRPr="00A32232">
        <w:rPr>
          <w:b/>
          <w:sz w:val="20"/>
        </w:rPr>
        <w:t xml:space="preserve">– </w:t>
      </w:r>
      <w:r w:rsidRPr="00A05A01">
        <w:rPr>
          <w:b/>
          <w:sz w:val="20"/>
        </w:rPr>
        <w:t>Maximum Residue Limits for Avilamycin in specific Pig Commodities</w:t>
      </w:r>
      <w:r>
        <w:rPr>
          <w:b/>
          <w:sz w:val="20"/>
        </w:rPr>
        <w:t xml:space="preserve">) </w:t>
      </w:r>
      <w:r w:rsidRPr="00C0014E">
        <w:rPr>
          <w:b/>
          <w:sz w:val="20"/>
        </w:rPr>
        <w:t>Variation</w:t>
      </w:r>
    </w:p>
    <w:p w14:paraId="6B53984B" w14:textId="77777777" w:rsidR="00CC0FF3" w:rsidRPr="00C0014E" w:rsidRDefault="00CC0FF3" w:rsidP="00CC0FF3">
      <w:pPr>
        <w:pBdr>
          <w:bottom w:val="single" w:sz="4" w:space="1" w:color="auto"/>
        </w:pBdr>
        <w:rPr>
          <w:b/>
          <w:sz w:val="20"/>
        </w:rPr>
      </w:pPr>
    </w:p>
    <w:p w14:paraId="010655E8" w14:textId="77777777" w:rsidR="00CC0FF3" w:rsidRPr="008F2616" w:rsidRDefault="00CC0FF3" w:rsidP="00CC0FF3">
      <w:pPr>
        <w:rPr>
          <w:sz w:val="20"/>
        </w:rPr>
      </w:pPr>
    </w:p>
    <w:p w14:paraId="6B1A64E5" w14:textId="77777777" w:rsidR="00CC0FF3" w:rsidRPr="008F2616" w:rsidRDefault="00CC0FF3" w:rsidP="00CC0FF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E9D8732" w14:textId="77777777" w:rsidR="00CC0FF3" w:rsidRPr="008F2616" w:rsidRDefault="00CC0FF3" w:rsidP="00CC0FF3">
      <w:pPr>
        <w:rPr>
          <w:sz w:val="20"/>
        </w:rPr>
      </w:pPr>
    </w:p>
    <w:p w14:paraId="2C588506" w14:textId="77777777" w:rsidR="00CC0FF3" w:rsidRPr="008F2616" w:rsidRDefault="00CC0FF3" w:rsidP="00CC0FF3">
      <w:pPr>
        <w:rPr>
          <w:sz w:val="20"/>
        </w:rPr>
      </w:pPr>
      <w:r w:rsidRPr="008F2616">
        <w:rPr>
          <w:sz w:val="20"/>
        </w:rPr>
        <w:t xml:space="preserve">Dated </w:t>
      </w:r>
      <w:r>
        <w:rPr>
          <w:sz w:val="20"/>
        </w:rPr>
        <w:t>[To be completed by Standards Management Officer]</w:t>
      </w:r>
    </w:p>
    <w:p w14:paraId="5AF3F465" w14:textId="77777777" w:rsidR="00CC0FF3" w:rsidRPr="008F2616" w:rsidRDefault="00CC0FF3" w:rsidP="00CC0FF3">
      <w:pPr>
        <w:rPr>
          <w:sz w:val="20"/>
        </w:rPr>
      </w:pPr>
    </w:p>
    <w:p w14:paraId="5BF3AFE4" w14:textId="77777777" w:rsidR="00CC0FF3" w:rsidRDefault="00CC0FF3" w:rsidP="00CC0FF3">
      <w:pPr>
        <w:rPr>
          <w:sz w:val="20"/>
        </w:rPr>
      </w:pPr>
    </w:p>
    <w:p w14:paraId="2EAF9891" w14:textId="77777777" w:rsidR="00CC0FF3" w:rsidRDefault="00CC0FF3" w:rsidP="00CC0FF3">
      <w:pPr>
        <w:rPr>
          <w:sz w:val="20"/>
        </w:rPr>
      </w:pPr>
    </w:p>
    <w:p w14:paraId="217CCB3E" w14:textId="77777777" w:rsidR="00CC0FF3" w:rsidRPr="008F2616" w:rsidRDefault="00CC0FF3" w:rsidP="00CC0FF3">
      <w:pPr>
        <w:rPr>
          <w:sz w:val="20"/>
        </w:rPr>
      </w:pPr>
    </w:p>
    <w:p w14:paraId="4B8DD7D3" w14:textId="77777777" w:rsidR="00CC0FF3" w:rsidRPr="008F2616" w:rsidRDefault="00CC0FF3" w:rsidP="00CC0FF3">
      <w:pPr>
        <w:rPr>
          <w:sz w:val="20"/>
        </w:rPr>
      </w:pPr>
    </w:p>
    <w:p w14:paraId="1B9D8C60" w14:textId="77777777" w:rsidR="00CC0FF3" w:rsidRPr="008F2616" w:rsidRDefault="00CC0FF3" w:rsidP="00CC0FF3">
      <w:pPr>
        <w:rPr>
          <w:sz w:val="20"/>
        </w:rPr>
      </w:pPr>
      <w:r w:rsidRPr="008F2616">
        <w:rPr>
          <w:sz w:val="20"/>
        </w:rPr>
        <w:t>Standards Management Officer</w:t>
      </w:r>
    </w:p>
    <w:p w14:paraId="061F06BC" w14:textId="77777777" w:rsidR="00CC0FF3" w:rsidRPr="008F2616" w:rsidRDefault="00CC0FF3" w:rsidP="00CC0FF3">
      <w:pPr>
        <w:rPr>
          <w:sz w:val="20"/>
        </w:rPr>
      </w:pPr>
      <w:r w:rsidRPr="008F2616">
        <w:rPr>
          <w:sz w:val="20"/>
        </w:rPr>
        <w:t>Delegate of the Board of Food Standards Australia New Zealand</w:t>
      </w:r>
    </w:p>
    <w:p w14:paraId="6F521530" w14:textId="77777777" w:rsidR="00CC0FF3" w:rsidRPr="006922C6" w:rsidRDefault="00CC0FF3" w:rsidP="00CC0FF3">
      <w:pPr>
        <w:rPr>
          <w:sz w:val="18"/>
        </w:rPr>
      </w:pPr>
    </w:p>
    <w:p w14:paraId="3B03C9CD" w14:textId="77777777" w:rsidR="00CC0FF3" w:rsidRPr="006922C6" w:rsidRDefault="00CC0FF3" w:rsidP="00CC0FF3">
      <w:pPr>
        <w:rPr>
          <w:sz w:val="18"/>
        </w:rPr>
      </w:pPr>
    </w:p>
    <w:p w14:paraId="1B617E97" w14:textId="77777777" w:rsidR="00CC0FF3" w:rsidRPr="006922C6" w:rsidRDefault="00CC0FF3" w:rsidP="00CC0FF3">
      <w:pPr>
        <w:rPr>
          <w:sz w:val="18"/>
        </w:rPr>
      </w:pPr>
    </w:p>
    <w:p w14:paraId="0642146A" w14:textId="77777777" w:rsidR="00CC0FF3" w:rsidRPr="006922C6" w:rsidRDefault="00CC0FF3" w:rsidP="00CC0FF3">
      <w:pPr>
        <w:rPr>
          <w:sz w:val="18"/>
        </w:rPr>
      </w:pPr>
    </w:p>
    <w:p w14:paraId="3015EAC5" w14:textId="77777777" w:rsidR="00CC0FF3" w:rsidRPr="006922C6" w:rsidRDefault="00CC0FF3" w:rsidP="00CC0FF3">
      <w:pPr>
        <w:rPr>
          <w:sz w:val="18"/>
        </w:rPr>
      </w:pPr>
    </w:p>
    <w:p w14:paraId="53DC4D40" w14:textId="77777777" w:rsidR="00CC0FF3" w:rsidRPr="006922C6" w:rsidRDefault="00CC0FF3" w:rsidP="00CC0FF3">
      <w:pPr>
        <w:pBdr>
          <w:top w:val="single" w:sz="4" w:space="1" w:color="auto"/>
          <w:left w:val="single" w:sz="4" w:space="4" w:color="auto"/>
          <w:bottom w:val="single" w:sz="4" w:space="1" w:color="auto"/>
          <w:right w:val="single" w:sz="4" w:space="4" w:color="auto"/>
        </w:pBdr>
        <w:rPr>
          <w:b/>
          <w:sz w:val="20"/>
          <w:lang w:val="en-AU"/>
        </w:rPr>
      </w:pPr>
      <w:r>
        <w:rPr>
          <w:b/>
          <w:sz w:val="20"/>
          <w:lang w:val="en-AU"/>
        </w:rPr>
        <w:t>Note: </w:t>
      </w:r>
    </w:p>
    <w:p w14:paraId="458C673E" w14:textId="77777777" w:rsidR="00CC0FF3" w:rsidRPr="006922C6" w:rsidRDefault="00CC0FF3" w:rsidP="00CC0FF3">
      <w:pPr>
        <w:pBdr>
          <w:top w:val="single" w:sz="4" w:space="1" w:color="auto"/>
          <w:left w:val="single" w:sz="4" w:space="4" w:color="auto"/>
          <w:bottom w:val="single" w:sz="4" w:space="1" w:color="auto"/>
          <w:right w:val="single" w:sz="4" w:space="4" w:color="auto"/>
        </w:pBdr>
        <w:rPr>
          <w:sz w:val="20"/>
          <w:lang w:val="en-AU"/>
        </w:rPr>
      </w:pPr>
    </w:p>
    <w:p w14:paraId="36618AF1" w14:textId="77777777" w:rsidR="00CC0FF3" w:rsidRPr="006922C6" w:rsidRDefault="00CC0FF3" w:rsidP="00CC0FF3">
      <w:pPr>
        <w:pBdr>
          <w:top w:val="single" w:sz="4" w:space="1" w:color="auto"/>
          <w:left w:val="single" w:sz="4" w:space="4" w:color="auto"/>
          <w:bottom w:val="single" w:sz="4" w:space="1" w:color="auto"/>
          <w:right w:val="single" w:sz="4" w:space="4" w:color="auto"/>
        </w:pBdr>
        <w:rPr>
          <w:sz w:val="20"/>
          <w:lang w:val="en-AU"/>
        </w:rPr>
      </w:pPr>
      <w:r w:rsidRPr="006922C6">
        <w:rPr>
          <w:sz w:val="20"/>
          <w:lang w:val="en-AU"/>
        </w:rPr>
        <w:t xml:space="preserve">This variation will be published in the Commonwealth of Australia Gazette No. </w:t>
      </w:r>
      <w:proofErr w:type="gramStart"/>
      <w:r w:rsidRPr="006922C6">
        <w:rPr>
          <w:sz w:val="20"/>
          <w:lang w:val="en-AU"/>
        </w:rPr>
        <w:t xml:space="preserve">FSC </w:t>
      </w:r>
      <w:r w:rsidRPr="006922C6">
        <w:rPr>
          <w:color w:val="FF0000"/>
          <w:sz w:val="20"/>
          <w:lang w:val="en-AU"/>
        </w:rPr>
        <w:t>XX on XX Month 20XX</w:t>
      </w:r>
      <w:r w:rsidRPr="006922C6">
        <w:rPr>
          <w:sz w:val="20"/>
          <w:lang w:val="en-AU"/>
        </w:rPr>
        <w:t>.</w:t>
      </w:r>
      <w:proofErr w:type="gramEnd"/>
      <w:r w:rsidRPr="006922C6">
        <w:rPr>
          <w:sz w:val="20"/>
          <w:lang w:val="en-AU"/>
        </w:rPr>
        <w:t xml:space="preserve"> This means that this date is the gazettal date for the purposes of cla</w:t>
      </w:r>
      <w:r>
        <w:rPr>
          <w:sz w:val="20"/>
          <w:lang w:val="en-AU"/>
        </w:rPr>
        <w:t>use 3 of the variation.</w:t>
      </w:r>
    </w:p>
    <w:p w14:paraId="571C1C16" w14:textId="77777777" w:rsidR="00CC0FF3" w:rsidRPr="006922C6" w:rsidRDefault="00CC0FF3" w:rsidP="00CC0FF3">
      <w:pPr>
        <w:rPr>
          <w:sz w:val="18"/>
        </w:rPr>
      </w:pPr>
    </w:p>
    <w:p w14:paraId="6C6E5E58" w14:textId="77777777" w:rsidR="00CC0FF3" w:rsidRPr="00D433B1" w:rsidRDefault="00CC0FF3" w:rsidP="00CC0FF3">
      <w:pPr>
        <w:pStyle w:val="FSCDraftingitemheading"/>
      </w:pPr>
      <w:r>
        <w:br w:type="page"/>
      </w:r>
      <w:r w:rsidRPr="00D433B1">
        <w:lastRenderedPageBreak/>
        <w:t>1</w:t>
      </w:r>
      <w:r w:rsidRPr="00D433B1">
        <w:tab/>
        <w:t>Name</w:t>
      </w:r>
    </w:p>
    <w:p w14:paraId="61263474" w14:textId="77777777" w:rsidR="00CC0FF3" w:rsidRPr="00F618DF" w:rsidRDefault="00CC0FF3" w:rsidP="00CC0FF3">
      <w:pPr>
        <w:pStyle w:val="FSCDraftingitem"/>
      </w:pPr>
      <w:r w:rsidRPr="00DB170D">
        <w:t xml:space="preserve">This instrument is the </w:t>
      </w:r>
      <w:r w:rsidRPr="003E0750">
        <w:rPr>
          <w:i/>
        </w:rPr>
        <w:t xml:space="preserve">Food Standards </w:t>
      </w:r>
      <w:r w:rsidRPr="009705DA">
        <w:rPr>
          <w:i/>
        </w:rPr>
        <w:t>(Application</w:t>
      </w:r>
      <w:r>
        <w:t xml:space="preserve"> </w:t>
      </w:r>
      <w:r>
        <w:rPr>
          <w:i/>
        </w:rPr>
        <w:t>A1133</w:t>
      </w:r>
      <w:r w:rsidRPr="00F618DF">
        <w:rPr>
          <w:b/>
        </w:rPr>
        <w:t xml:space="preserve"> </w:t>
      </w:r>
      <w:r w:rsidRPr="00027DB9">
        <w:t xml:space="preserve">– </w:t>
      </w:r>
      <w:r w:rsidRPr="00A533C3">
        <w:rPr>
          <w:i/>
        </w:rPr>
        <w:t>Maximum Residue Limits for Avilamycin in specific Pig Commodities</w:t>
      </w:r>
      <w:r>
        <w:rPr>
          <w:i/>
        </w:rPr>
        <w:t xml:space="preserve">) </w:t>
      </w:r>
      <w:r w:rsidRPr="009705DA">
        <w:rPr>
          <w:i/>
        </w:rPr>
        <w:t>Variation</w:t>
      </w:r>
      <w:r w:rsidRPr="00F618DF">
        <w:t>.</w:t>
      </w:r>
    </w:p>
    <w:p w14:paraId="11B721EE" w14:textId="7352E6DF" w:rsidR="00CC0FF3" w:rsidRPr="00D433B1" w:rsidRDefault="00CC0FF3" w:rsidP="00CC0FF3">
      <w:pPr>
        <w:pStyle w:val="FSCDraftingitemheading"/>
      </w:pPr>
      <w:r w:rsidRPr="00D433B1">
        <w:t>2</w:t>
      </w:r>
      <w:r w:rsidRPr="00D433B1">
        <w:tab/>
        <w:t xml:space="preserve">Variation to a </w:t>
      </w:r>
      <w:r w:rsidR="00AA20E2">
        <w:t>S</w:t>
      </w:r>
      <w:r w:rsidRPr="00D433B1">
        <w:t xml:space="preserve">tandard in the </w:t>
      </w:r>
      <w:r w:rsidRPr="002F7B6B">
        <w:rPr>
          <w:i/>
        </w:rPr>
        <w:t>Australia New Zealand Food Standards Code</w:t>
      </w:r>
    </w:p>
    <w:p w14:paraId="399D6E7E" w14:textId="77777777" w:rsidR="00CC0FF3" w:rsidRDefault="00CC0FF3" w:rsidP="00CC0FF3">
      <w:pPr>
        <w:pStyle w:val="FSCDraftingitem"/>
      </w:pPr>
      <w:r>
        <w:t xml:space="preserve">The Schedule varies a Standard in the </w:t>
      </w:r>
      <w:r w:rsidRPr="00027DB9">
        <w:rPr>
          <w:i/>
        </w:rPr>
        <w:t>Australia New Zealand Food Standards Code</w:t>
      </w:r>
      <w:r>
        <w:t>.</w:t>
      </w:r>
    </w:p>
    <w:p w14:paraId="67A4B91A" w14:textId="77777777" w:rsidR="00CC0FF3" w:rsidRPr="00D433B1" w:rsidRDefault="00CC0FF3" w:rsidP="00CC0FF3">
      <w:pPr>
        <w:pStyle w:val="FSCDraftingitemheading"/>
      </w:pPr>
      <w:r w:rsidRPr="00D433B1">
        <w:t>3</w:t>
      </w:r>
      <w:r w:rsidRPr="00D433B1">
        <w:tab/>
        <w:t>Commencement</w:t>
      </w:r>
    </w:p>
    <w:p w14:paraId="355E18C6" w14:textId="77777777" w:rsidR="00CC0FF3" w:rsidRDefault="00CC0FF3" w:rsidP="00CC0FF3">
      <w:pPr>
        <w:pStyle w:val="FSCDraftingitem"/>
      </w:pPr>
      <w:r>
        <w:t>The variation commenc</w:t>
      </w:r>
      <w:r w:rsidRPr="000055C4">
        <w:t>e</w:t>
      </w:r>
      <w:r>
        <w:t>s</w:t>
      </w:r>
      <w:r w:rsidRPr="000055C4">
        <w:t xml:space="preserve"> on</w:t>
      </w:r>
      <w:r>
        <w:t xml:space="preserve"> the date of gazettal.</w:t>
      </w:r>
    </w:p>
    <w:p w14:paraId="75E94735" w14:textId="77777777" w:rsidR="00CC0FF3" w:rsidRPr="00D433B1" w:rsidRDefault="00CC0FF3" w:rsidP="00CC0FF3">
      <w:pPr>
        <w:jc w:val="center"/>
        <w:rPr>
          <w:b/>
          <w:sz w:val="20"/>
        </w:rPr>
      </w:pPr>
      <w:r w:rsidRPr="00D433B1">
        <w:rPr>
          <w:b/>
          <w:sz w:val="20"/>
        </w:rPr>
        <w:t>Schedule</w:t>
      </w:r>
    </w:p>
    <w:p w14:paraId="115DAFF2" w14:textId="77777777" w:rsidR="00CC0FF3" w:rsidRDefault="00CC0FF3" w:rsidP="00CC0FF3">
      <w:pPr>
        <w:pStyle w:val="FSCDraftingitem"/>
      </w:pPr>
      <w:r>
        <w:rPr>
          <w:b/>
          <w:lang w:bidi="en-US"/>
        </w:rPr>
        <w:t>[1</w:t>
      </w:r>
      <w:r w:rsidRPr="00D433B1">
        <w:rPr>
          <w:b/>
          <w:lang w:bidi="en-US"/>
        </w:rPr>
        <w:t>]</w:t>
      </w:r>
      <w:r w:rsidRPr="00D433B1">
        <w:rPr>
          <w:b/>
          <w:lang w:bidi="en-US"/>
        </w:rPr>
        <w:tab/>
      </w:r>
      <w:r w:rsidRPr="00DD005B">
        <w:rPr>
          <w:lang w:bidi="en-US"/>
        </w:rPr>
        <w:t xml:space="preserve">The table to section S20—3 in </w:t>
      </w:r>
      <w:r w:rsidRPr="00DD005B">
        <w:rPr>
          <w:b/>
          <w:lang w:bidi="en-US"/>
        </w:rPr>
        <w:t>Schedule 20</w:t>
      </w:r>
      <w:r w:rsidRPr="00DD005B">
        <w:rPr>
          <w:lang w:bidi="en-US"/>
        </w:rPr>
        <w:t xml:space="preserve"> </w:t>
      </w:r>
      <w:proofErr w:type="gramStart"/>
      <w:r w:rsidRPr="00DD005B">
        <w:rPr>
          <w:lang w:bidi="en-US"/>
        </w:rPr>
        <w:t>is</w:t>
      </w:r>
      <w:proofErr w:type="gramEnd"/>
      <w:r w:rsidRPr="00DD005B">
        <w:rPr>
          <w:lang w:bidi="en-US"/>
        </w:rPr>
        <w:t xml:space="preserve"> varied by</w:t>
      </w:r>
      <w:r>
        <w:rPr>
          <w:b/>
          <w:lang w:bidi="en-US"/>
        </w:rPr>
        <w:t xml:space="preserve"> </w:t>
      </w:r>
      <w:r>
        <w:t>inserting in alphabetical order</w:t>
      </w:r>
    </w:p>
    <w:tbl>
      <w:tblPr>
        <w:tblStyle w:val="TableGrid"/>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table to section S20-3 in Schedule 20 is varied by inserting in alphabetical order"/>
        <w:tblDescription w:val="Agvet chemical: Avilamycin. Permitted Residue: Dichloroisoeverninic acid (DIA). Commodities- Pig fat/skin 0.2, Pig kidney 0.2, Pig liver 0.3, Pig meat 0.2 mg/kg"/>
      </w:tblPr>
      <w:tblGrid>
        <w:gridCol w:w="3402"/>
        <w:gridCol w:w="1020"/>
      </w:tblGrid>
      <w:tr w:rsidR="00CC0FF3" w:rsidRPr="0055364B" w14:paraId="20EBD200" w14:textId="77777777" w:rsidTr="0070793E">
        <w:trPr>
          <w:tblHeader/>
        </w:trPr>
        <w:tc>
          <w:tcPr>
            <w:tcW w:w="4422" w:type="dxa"/>
            <w:gridSpan w:val="2"/>
            <w:tcBorders>
              <w:top w:val="single" w:sz="4" w:space="0" w:color="auto"/>
            </w:tcBorders>
            <w:shd w:val="clear" w:color="auto" w:fill="auto"/>
          </w:tcPr>
          <w:p w14:paraId="52339BC6" w14:textId="77777777" w:rsidR="00CC0FF3" w:rsidRPr="0055364B" w:rsidRDefault="00CC0FF3" w:rsidP="0070793E">
            <w:pPr>
              <w:pStyle w:val="FSCtblh3"/>
            </w:pPr>
            <w:r w:rsidRPr="0055364B">
              <w:t xml:space="preserve">Agvet chemical:  </w:t>
            </w:r>
            <w:r>
              <w:t>Avilamycin</w:t>
            </w:r>
            <w:r w:rsidRPr="0055364B">
              <w:rPr>
                <w:szCs w:val="18"/>
              </w:rPr>
              <w:t xml:space="preserve"> </w:t>
            </w:r>
          </w:p>
        </w:tc>
      </w:tr>
      <w:tr w:rsidR="00CC0FF3" w:rsidRPr="0055364B" w14:paraId="72E1BE98" w14:textId="77777777" w:rsidTr="0070793E">
        <w:trPr>
          <w:tblHeader/>
        </w:trPr>
        <w:tc>
          <w:tcPr>
            <w:tcW w:w="4422" w:type="dxa"/>
            <w:gridSpan w:val="2"/>
            <w:tcBorders>
              <w:bottom w:val="single" w:sz="4" w:space="0" w:color="auto"/>
            </w:tcBorders>
            <w:shd w:val="clear" w:color="auto" w:fill="auto"/>
          </w:tcPr>
          <w:p w14:paraId="11E40007" w14:textId="7C2F00D5" w:rsidR="00CC0FF3" w:rsidRPr="0055364B" w:rsidRDefault="00CC0FF3" w:rsidP="0070793E">
            <w:pPr>
              <w:pStyle w:val="FSCtblh4"/>
            </w:pPr>
            <w:r w:rsidRPr="0055364B">
              <w:t xml:space="preserve">Permitted residue: </w:t>
            </w:r>
            <w:r w:rsidR="003F64EB">
              <w:rPr>
                <w:color w:val="000000"/>
                <w:szCs w:val="18"/>
              </w:rPr>
              <w:t>d</w:t>
            </w:r>
            <w:r>
              <w:rPr>
                <w:color w:val="000000"/>
                <w:szCs w:val="18"/>
              </w:rPr>
              <w:t>ichloroisoeverninic acid (DIA)</w:t>
            </w:r>
          </w:p>
        </w:tc>
      </w:tr>
      <w:tr w:rsidR="00CC0FF3" w:rsidRPr="00DB4975" w14:paraId="3411CFB8" w14:textId="77777777" w:rsidTr="00DB4975">
        <w:trPr>
          <w:tblHeader/>
        </w:trPr>
        <w:tc>
          <w:tcPr>
            <w:tcW w:w="3402" w:type="dxa"/>
            <w:shd w:val="clear" w:color="auto" w:fill="auto"/>
          </w:tcPr>
          <w:p w14:paraId="5959B3F2" w14:textId="77777777" w:rsidR="00CC0FF3" w:rsidRPr="00DB4975" w:rsidRDefault="00CC0FF3" w:rsidP="0070793E">
            <w:pPr>
              <w:pStyle w:val="FSCtblMRL1"/>
            </w:pPr>
            <w:r w:rsidRPr="00DB4975">
              <w:rPr>
                <w:lang w:val="en-AU"/>
              </w:rPr>
              <w:t>Pig fat/skin</w:t>
            </w:r>
          </w:p>
        </w:tc>
        <w:tc>
          <w:tcPr>
            <w:tcW w:w="1020" w:type="dxa"/>
            <w:shd w:val="clear" w:color="auto" w:fill="auto"/>
          </w:tcPr>
          <w:p w14:paraId="615925F3" w14:textId="77777777" w:rsidR="00CC0FF3" w:rsidRPr="00DB4975" w:rsidRDefault="00CC0FF3" w:rsidP="0070793E">
            <w:pPr>
              <w:pStyle w:val="FSCtblMRL1"/>
              <w:rPr>
                <w:rFonts w:cs="Times New Roman"/>
                <w:sz w:val="22"/>
                <w:szCs w:val="24"/>
                <w:lang w:val="en-AU" w:bidi="en-US"/>
              </w:rPr>
            </w:pPr>
            <w:r w:rsidRPr="00DB4975">
              <w:rPr>
                <w:lang w:val="en-AU"/>
              </w:rPr>
              <w:t>0.2</w:t>
            </w:r>
          </w:p>
        </w:tc>
      </w:tr>
      <w:tr w:rsidR="00CC0FF3" w:rsidRPr="0055364B" w14:paraId="72926D2A" w14:textId="77777777" w:rsidTr="0070793E">
        <w:trPr>
          <w:tblHeader/>
        </w:trPr>
        <w:tc>
          <w:tcPr>
            <w:tcW w:w="3402" w:type="dxa"/>
            <w:shd w:val="clear" w:color="auto" w:fill="auto"/>
          </w:tcPr>
          <w:p w14:paraId="2A5A83A9" w14:textId="77777777" w:rsidR="00CC0FF3" w:rsidRPr="0055364B" w:rsidRDefault="00CC0FF3" w:rsidP="0070793E">
            <w:pPr>
              <w:pStyle w:val="FSCtblMRL1"/>
            </w:pPr>
            <w:r>
              <w:rPr>
                <w:lang w:val="en-AU"/>
              </w:rPr>
              <w:t>Pig kidney</w:t>
            </w:r>
          </w:p>
        </w:tc>
        <w:tc>
          <w:tcPr>
            <w:tcW w:w="1020" w:type="dxa"/>
            <w:shd w:val="clear" w:color="auto" w:fill="auto"/>
          </w:tcPr>
          <w:p w14:paraId="6D79BE9D" w14:textId="77777777" w:rsidR="00CC0FF3" w:rsidRPr="0055364B" w:rsidRDefault="00CC0FF3" w:rsidP="0070793E">
            <w:pPr>
              <w:pStyle w:val="FSCtblMRL1"/>
            </w:pPr>
            <w:r>
              <w:rPr>
                <w:lang w:val="en-AU"/>
              </w:rPr>
              <w:t>0.2</w:t>
            </w:r>
          </w:p>
        </w:tc>
      </w:tr>
      <w:tr w:rsidR="00CC0FF3" w:rsidRPr="0055364B" w14:paraId="415BD8D8" w14:textId="77777777" w:rsidTr="008F531F">
        <w:trPr>
          <w:tblHeader/>
        </w:trPr>
        <w:tc>
          <w:tcPr>
            <w:tcW w:w="3402" w:type="dxa"/>
          </w:tcPr>
          <w:p w14:paraId="7672E641" w14:textId="77777777" w:rsidR="00CC0FF3" w:rsidRPr="0055364B" w:rsidRDefault="00CC0FF3" w:rsidP="0070793E">
            <w:pPr>
              <w:pStyle w:val="FSCtblMRL1"/>
            </w:pPr>
            <w:r>
              <w:rPr>
                <w:lang w:val="en-AU"/>
              </w:rPr>
              <w:t>Pig liver</w:t>
            </w:r>
          </w:p>
        </w:tc>
        <w:tc>
          <w:tcPr>
            <w:tcW w:w="1020" w:type="dxa"/>
          </w:tcPr>
          <w:p w14:paraId="30F85183" w14:textId="77777777" w:rsidR="00CC0FF3" w:rsidRPr="0055364B" w:rsidRDefault="00CC0FF3" w:rsidP="0070793E">
            <w:pPr>
              <w:pStyle w:val="FSCtblMRL1"/>
            </w:pPr>
            <w:r>
              <w:rPr>
                <w:lang w:val="en-AU"/>
              </w:rPr>
              <w:t>0.3</w:t>
            </w:r>
          </w:p>
        </w:tc>
      </w:tr>
      <w:tr w:rsidR="00CC0FF3" w:rsidRPr="0055364B" w14:paraId="77378BA5" w14:textId="77777777" w:rsidTr="008F531F">
        <w:trPr>
          <w:tblHeader/>
        </w:trPr>
        <w:tc>
          <w:tcPr>
            <w:tcW w:w="3402" w:type="dxa"/>
            <w:tcBorders>
              <w:bottom w:val="single" w:sz="4" w:space="0" w:color="auto"/>
            </w:tcBorders>
          </w:tcPr>
          <w:p w14:paraId="7B9AB087" w14:textId="77777777" w:rsidR="00CC0FF3" w:rsidRPr="0055364B" w:rsidRDefault="00CC0FF3" w:rsidP="0070793E">
            <w:pPr>
              <w:pStyle w:val="FSCtblMRL1"/>
            </w:pPr>
            <w:r>
              <w:rPr>
                <w:lang w:val="en-AU"/>
              </w:rPr>
              <w:t>Pig meat</w:t>
            </w:r>
          </w:p>
        </w:tc>
        <w:tc>
          <w:tcPr>
            <w:tcW w:w="1020" w:type="dxa"/>
            <w:tcBorders>
              <w:bottom w:val="single" w:sz="4" w:space="0" w:color="auto"/>
            </w:tcBorders>
          </w:tcPr>
          <w:p w14:paraId="787337FB" w14:textId="77777777" w:rsidR="00CC0FF3" w:rsidRPr="0055364B" w:rsidRDefault="00CC0FF3" w:rsidP="0070793E">
            <w:pPr>
              <w:pStyle w:val="FSCtblMRL1"/>
            </w:pPr>
            <w:r>
              <w:rPr>
                <w:lang w:val="en-AU"/>
              </w:rPr>
              <w:t>0.2</w:t>
            </w:r>
          </w:p>
        </w:tc>
      </w:tr>
    </w:tbl>
    <w:p w14:paraId="688B2614" w14:textId="77777777" w:rsidR="00456BD5" w:rsidRDefault="00456BD5" w:rsidP="00456BD5">
      <w:pPr>
        <w:pStyle w:val="Heading2"/>
        <w:ind w:left="0" w:firstLine="0"/>
      </w:pPr>
      <w:r w:rsidRPr="00932F14">
        <w:br w:type="page"/>
      </w:r>
      <w:bookmarkStart w:id="117" w:name="_Toc475101761"/>
      <w:r w:rsidR="005E06C0" w:rsidRPr="00932F14">
        <w:lastRenderedPageBreak/>
        <w:t xml:space="preserve">Attachment </w:t>
      </w:r>
      <w:r w:rsidR="005E06C0">
        <w:t xml:space="preserve">B – </w:t>
      </w:r>
      <w:r>
        <w:t>Explanatory Statement</w:t>
      </w:r>
      <w:bookmarkEnd w:id="117"/>
    </w:p>
    <w:p w14:paraId="3D40C646"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790352AD" w14:textId="77777777" w:rsidR="00456BD5" w:rsidRDefault="00456BD5" w:rsidP="00456BD5">
      <w:pPr>
        <w:rPr>
          <w:lang w:val="en-AU" w:eastAsia="en-GB" w:bidi="ar-SA"/>
        </w:rPr>
      </w:pPr>
    </w:p>
    <w:p w14:paraId="0F87C298" w14:textId="56582889"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00AA20E2">
        <w:rPr>
          <w:rFonts w:eastAsia="Calibri" w:cs="Arial"/>
          <w:bCs/>
          <w:szCs w:val="22"/>
          <w:lang w:val="en-AU" w:bidi="ar-SA"/>
        </w:rPr>
        <w:t>) include the development of Standards and variations of S</w:t>
      </w:r>
      <w:r w:rsidRPr="00D13E34">
        <w:rPr>
          <w:rFonts w:eastAsia="Calibri" w:cs="Arial"/>
          <w:bCs/>
          <w:szCs w:val="22"/>
          <w:lang w:val="en-AU" w:bidi="ar-SA"/>
        </w:rPr>
        <w:t xml:space="preserve">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640EB8D" w14:textId="77777777" w:rsidR="00456BD5" w:rsidRPr="00D13E34" w:rsidRDefault="00456BD5" w:rsidP="00456BD5">
      <w:pPr>
        <w:widowControl/>
        <w:autoSpaceDE w:val="0"/>
        <w:autoSpaceDN w:val="0"/>
        <w:adjustRightInd w:val="0"/>
        <w:rPr>
          <w:rFonts w:eastAsia="Calibri" w:cs="Arial"/>
          <w:bCs/>
          <w:szCs w:val="22"/>
          <w:lang w:val="en-AU" w:bidi="ar-SA"/>
        </w:rPr>
      </w:pPr>
    </w:p>
    <w:p w14:paraId="6399721D" w14:textId="3AF52CBB" w:rsidR="00456BD5" w:rsidRPr="00A251B9" w:rsidRDefault="00456BD5" w:rsidP="00456BD5">
      <w:pPr>
        <w:widowControl/>
        <w:autoSpaceDE w:val="0"/>
        <w:autoSpaceDN w:val="0"/>
        <w:adjustRightInd w:val="0"/>
        <w:rPr>
          <w:rFonts w:eastAsia="Calibri" w:cs="Arial"/>
          <w:bCs/>
          <w:szCs w:val="22"/>
          <w:lang w:val="en-AU" w:bidi="ar-SA"/>
        </w:rPr>
      </w:pPr>
      <w:r w:rsidRPr="00A251B9">
        <w:rPr>
          <w:rFonts w:eastAsia="Calibri" w:cs="Arial"/>
          <w:bCs/>
          <w:szCs w:val="22"/>
          <w:lang w:val="en-AU" w:bidi="ar-SA"/>
        </w:rPr>
        <w:t xml:space="preserve">Division 1 of Part 3 of the FSANZ Act specifies that the Authority may accept applications for the development or variation of food regulatory measures, including </w:t>
      </w:r>
      <w:r w:rsidR="00AA20E2">
        <w:rPr>
          <w:rFonts w:eastAsia="Calibri" w:cs="Arial"/>
          <w:bCs/>
          <w:szCs w:val="22"/>
          <w:lang w:val="en-AU" w:bidi="ar-SA"/>
        </w:rPr>
        <w:t>S</w:t>
      </w:r>
      <w:r w:rsidRPr="00A251B9">
        <w:rPr>
          <w:rFonts w:eastAsia="Calibri" w:cs="Arial"/>
          <w:bCs/>
          <w:szCs w:val="22"/>
          <w:lang w:val="en-AU" w:bidi="ar-SA"/>
        </w:rPr>
        <w:t>tandards. This Division also stipulates the procedure for considering an application for the development or variati</w:t>
      </w:r>
      <w:r w:rsidR="00957692">
        <w:rPr>
          <w:rFonts w:eastAsia="Calibri" w:cs="Arial"/>
          <w:bCs/>
          <w:szCs w:val="22"/>
          <w:lang w:val="en-AU" w:bidi="ar-SA"/>
        </w:rPr>
        <w:t>on of food regulatory measures.</w:t>
      </w:r>
    </w:p>
    <w:p w14:paraId="10BB9FF9" w14:textId="77777777" w:rsidR="00456BD5" w:rsidRPr="00A251B9" w:rsidRDefault="00456BD5" w:rsidP="00456BD5">
      <w:pPr>
        <w:widowControl/>
        <w:autoSpaceDE w:val="0"/>
        <w:autoSpaceDN w:val="0"/>
        <w:adjustRightInd w:val="0"/>
        <w:rPr>
          <w:rFonts w:eastAsia="Calibri" w:cs="Arial"/>
          <w:bCs/>
          <w:szCs w:val="22"/>
          <w:lang w:val="en-AU" w:bidi="ar-SA"/>
        </w:rPr>
      </w:pPr>
    </w:p>
    <w:p w14:paraId="08F4DA58" w14:textId="5843F1C4" w:rsidR="00456BD5" w:rsidRPr="00A251B9" w:rsidRDefault="00456BD5" w:rsidP="00456BD5">
      <w:pPr>
        <w:widowControl/>
        <w:autoSpaceDE w:val="0"/>
        <w:autoSpaceDN w:val="0"/>
        <w:adjustRightInd w:val="0"/>
        <w:rPr>
          <w:rFonts w:eastAsia="Calibri" w:cs="Arial"/>
          <w:bCs/>
          <w:szCs w:val="22"/>
          <w:lang w:val="en-AU" w:bidi="ar-SA"/>
        </w:rPr>
      </w:pPr>
      <w:r w:rsidRPr="00A251B9">
        <w:rPr>
          <w:rFonts w:eastAsia="Calibri" w:cs="Arial"/>
          <w:bCs/>
          <w:szCs w:val="22"/>
          <w:lang w:val="en-AU" w:bidi="ar-SA"/>
        </w:rPr>
        <w:t xml:space="preserve">The Authority accepted Application </w:t>
      </w:r>
      <w:r w:rsidR="000D7C18" w:rsidRPr="00A251B9">
        <w:rPr>
          <w:rFonts w:eastAsia="Calibri" w:cs="Arial"/>
          <w:bCs/>
          <w:szCs w:val="22"/>
          <w:lang w:val="en-AU" w:bidi="ar-SA"/>
        </w:rPr>
        <w:t>A1133</w:t>
      </w:r>
      <w:r w:rsidRPr="00A251B9">
        <w:rPr>
          <w:rFonts w:eastAsia="Calibri" w:cs="Arial"/>
          <w:bCs/>
          <w:szCs w:val="22"/>
          <w:lang w:val="en-AU" w:bidi="ar-SA"/>
        </w:rPr>
        <w:t xml:space="preserve"> which s</w:t>
      </w:r>
      <w:r w:rsidR="00A251B9" w:rsidRPr="00A251B9">
        <w:rPr>
          <w:rFonts w:eastAsia="Calibri" w:cs="Arial"/>
          <w:bCs/>
          <w:szCs w:val="22"/>
          <w:lang w:val="en-AU" w:bidi="ar-SA"/>
        </w:rPr>
        <w:t>ought</w:t>
      </w:r>
      <w:r w:rsidRPr="00A251B9">
        <w:rPr>
          <w:rFonts w:eastAsia="Calibri" w:cs="Arial"/>
          <w:bCs/>
          <w:szCs w:val="22"/>
          <w:lang w:val="en-AU" w:bidi="ar-SA"/>
        </w:rPr>
        <w:t xml:space="preserve"> to</w:t>
      </w:r>
      <w:r w:rsidR="000D7C18" w:rsidRPr="00A251B9">
        <w:rPr>
          <w:rFonts w:eastAsia="Calibri" w:cs="Arial"/>
          <w:bCs/>
          <w:szCs w:val="22"/>
          <w:lang w:val="en-AU" w:bidi="ar-SA"/>
        </w:rPr>
        <w:t xml:space="preserve"> </w:t>
      </w:r>
      <w:r w:rsidR="00B1309D">
        <w:rPr>
          <w:rFonts w:eastAsia="Calibri" w:cs="Arial"/>
          <w:bCs/>
          <w:szCs w:val="22"/>
          <w:lang w:val="en-AU" w:bidi="ar-SA"/>
        </w:rPr>
        <w:t>harmonise</w:t>
      </w:r>
      <w:r w:rsidR="00B1309D" w:rsidRPr="00A251B9">
        <w:rPr>
          <w:rFonts w:eastAsia="Calibri" w:cs="Arial"/>
          <w:bCs/>
          <w:szCs w:val="22"/>
          <w:lang w:val="en-AU" w:bidi="ar-SA"/>
        </w:rPr>
        <w:t xml:space="preserve"> </w:t>
      </w:r>
      <w:r w:rsidR="009D4F0A">
        <w:rPr>
          <w:rFonts w:eastAsia="Calibri" w:cs="Arial"/>
          <w:bCs/>
          <w:szCs w:val="22"/>
          <w:lang w:val="en-AU" w:bidi="ar-SA"/>
        </w:rPr>
        <w:t xml:space="preserve">Codex </w:t>
      </w:r>
      <w:r w:rsidR="000D7C18" w:rsidRPr="00A251B9">
        <w:rPr>
          <w:rFonts w:eastAsia="Calibri" w:cs="Arial"/>
          <w:bCs/>
          <w:szCs w:val="22"/>
          <w:lang w:val="en-AU" w:bidi="ar-SA"/>
        </w:rPr>
        <w:t xml:space="preserve">MRLs for avilamycin in specific pig commodities </w:t>
      </w:r>
      <w:r w:rsidR="009D4F0A">
        <w:rPr>
          <w:rFonts w:eastAsia="Calibri" w:cs="Arial"/>
          <w:bCs/>
          <w:szCs w:val="22"/>
          <w:lang w:val="en-AU" w:bidi="ar-SA"/>
        </w:rPr>
        <w:t>with</w:t>
      </w:r>
      <w:r w:rsidR="009D4F0A" w:rsidRPr="00A251B9">
        <w:rPr>
          <w:rFonts w:eastAsia="Calibri" w:cs="Arial"/>
          <w:bCs/>
          <w:szCs w:val="22"/>
          <w:lang w:val="en-AU" w:bidi="ar-SA"/>
        </w:rPr>
        <w:t xml:space="preserve"> </w:t>
      </w:r>
      <w:r w:rsidR="000D7C18" w:rsidRPr="00A251B9">
        <w:rPr>
          <w:rFonts w:eastAsia="Calibri" w:cs="Arial"/>
          <w:bCs/>
          <w:szCs w:val="22"/>
          <w:lang w:val="en-AU" w:bidi="ar-SA"/>
        </w:rPr>
        <w:t>the Australia New Zealand Food Standards Code</w:t>
      </w:r>
      <w:r w:rsidRPr="00A251B9">
        <w:rPr>
          <w:rFonts w:eastAsia="Calibri" w:cs="Arial"/>
          <w:bCs/>
          <w:szCs w:val="22"/>
          <w:lang w:val="en-AU" w:bidi="ar-SA"/>
        </w:rPr>
        <w:t>. The Authority considered the Application in accordance with Division 1 of Part 3 and</w:t>
      </w:r>
      <w:r w:rsidR="00957692">
        <w:rPr>
          <w:rFonts w:eastAsia="Calibri" w:cs="Arial"/>
          <w:bCs/>
          <w:szCs w:val="22"/>
          <w:lang w:val="en-AU" w:bidi="ar-SA"/>
        </w:rPr>
        <w:t xml:space="preserve"> has approved a </w:t>
      </w:r>
      <w:r w:rsidR="00B1309D">
        <w:rPr>
          <w:rFonts w:eastAsia="Calibri" w:cs="Arial"/>
          <w:bCs/>
          <w:szCs w:val="22"/>
          <w:lang w:val="en-AU" w:bidi="ar-SA"/>
        </w:rPr>
        <w:t>variation to Schedule 20</w:t>
      </w:r>
      <w:r w:rsidR="00957692">
        <w:rPr>
          <w:rFonts w:eastAsia="Calibri" w:cs="Arial"/>
          <w:bCs/>
          <w:szCs w:val="22"/>
          <w:lang w:val="en-AU" w:bidi="ar-SA"/>
        </w:rPr>
        <w:t>.</w:t>
      </w:r>
    </w:p>
    <w:p w14:paraId="3A5A7F85" w14:textId="77777777" w:rsidR="000D7C18" w:rsidRDefault="000D7C18" w:rsidP="00456BD5">
      <w:pPr>
        <w:widowControl/>
        <w:autoSpaceDE w:val="0"/>
        <w:autoSpaceDN w:val="0"/>
        <w:adjustRightInd w:val="0"/>
        <w:rPr>
          <w:rFonts w:eastAsia="Calibri" w:cs="Arial"/>
          <w:bCs/>
          <w:szCs w:val="22"/>
          <w:lang w:val="en-AU" w:bidi="ar-SA"/>
        </w:rPr>
      </w:pPr>
    </w:p>
    <w:p w14:paraId="4EC43318" w14:textId="725B16FA"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w:t>
      </w:r>
      <w:r w:rsidR="00AA20E2">
        <w:rPr>
          <w:rFonts w:eastAsia="Calibri" w:cs="Arial"/>
          <w:bCs/>
          <w:szCs w:val="22"/>
          <w:lang w:val="en-AU" w:bidi="ar-SA"/>
        </w:rPr>
        <w:t>ust publish a notice about the S</w:t>
      </w:r>
      <w:r w:rsidRPr="00D13E34">
        <w:rPr>
          <w:rFonts w:eastAsia="Calibri" w:cs="Arial"/>
          <w:bCs/>
          <w:szCs w:val="22"/>
          <w:lang w:val="en-AU" w:bidi="ar-SA"/>
        </w:rPr>
        <w:t>t</w:t>
      </w:r>
      <w:r w:rsidR="00AA20E2">
        <w:rPr>
          <w:rFonts w:eastAsia="Calibri" w:cs="Arial"/>
          <w:bCs/>
          <w:szCs w:val="22"/>
          <w:lang w:val="en-AU" w:bidi="ar-SA"/>
        </w:rPr>
        <w:t>andard or draft variation of a S</w:t>
      </w:r>
      <w:r w:rsidRPr="00D13E34">
        <w:rPr>
          <w:rFonts w:eastAsia="Calibri" w:cs="Arial"/>
          <w:bCs/>
          <w:szCs w:val="22"/>
          <w:lang w:val="en-AU" w:bidi="ar-SA"/>
        </w:rPr>
        <w:t>tandard</w:t>
      </w:r>
      <w:r w:rsidR="00957692">
        <w:rPr>
          <w:rFonts w:eastAsia="Calibri" w:cs="Arial"/>
          <w:bCs/>
          <w:szCs w:val="22"/>
          <w:lang w:val="en-AU" w:bidi="ar-SA"/>
        </w:rPr>
        <w:t>.</w:t>
      </w:r>
    </w:p>
    <w:p w14:paraId="57E9065F" w14:textId="77777777" w:rsidR="00456BD5" w:rsidRPr="00D13E34" w:rsidRDefault="00456BD5" w:rsidP="00456BD5">
      <w:pPr>
        <w:widowControl/>
        <w:autoSpaceDE w:val="0"/>
        <w:autoSpaceDN w:val="0"/>
        <w:adjustRightInd w:val="0"/>
        <w:rPr>
          <w:rFonts w:eastAsia="Calibri" w:cs="Arial"/>
          <w:bCs/>
          <w:szCs w:val="22"/>
          <w:lang w:val="en-AU" w:bidi="ar-SA"/>
        </w:rPr>
      </w:pPr>
    </w:p>
    <w:p w14:paraId="21A63E82" w14:textId="6C9001C8"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00AA20E2">
        <w:rPr>
          <w:rFonts w:eastAsia="Calibri" w:cs="Arial"/>
          <w:color w:val="000000"/>
          <w:szCs w:val="22"/>
          <w:lang w:val="en-AU" w:bidi="ar-SA"/>
        </w:rPr>
        <w:t xml:space="preserve"> Standard, or a variation of a S</w:t>
      </w:r>
      <w:r w:rsidRPr="00EC71D1">
        <w:rPr>
          <w:rFonts w:eastAsia="Calibri" w:cs="Arial"/>
          <w:color w:val="000000"/>
          <w:szCs w:val="22"/>
          <w:lang w:val="en-AU" w:bidi="ar-SA"/>
        </w:rPr>
        <w:t xml:space="preserve">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01B8CC75" w14:textId="77777777" w:rsidR="00456BD5" w:rsidRDefault="00456BD5" w:rsidP="00456BD5">
      <w:pPr>
        <w:rPr>
          <w:lang w:val="en-AU" w:eastAsia="en-GB" w:bidi="ar-SA"/>
        </w:rPr>
      </w:pPr>
    </w:p>
    <w:p w14:paraId="29886611" w14:textId="46CDACFA" w:rsidR="00456BD5" w:rsidRDefault="00456BD5" w:rsidP="00456BD5">
      <w:pPr>
        <w:rPr>
          <w:b/>
          <w:lang w:val="en-AU" w:eastAsia="en-GB" w:bidi="ar-SA"/>
        </w:rPr>
      </w:pPr>
      <w:r>
        <w:rPr>
          <w:b/>
          <w:lang w:val="en-AU" w:eastAsia="en-GB" w:bidi="ar-SA"/>
        </w:rPr>
        <w:t>2.</w:t>
      </w:r>
      <w:r>
        <w:rPr>
          <w:b/>
          <w:lang w:val="en-AU" w:eastAsia="en-GB" w:bidi="ar-SA"/>
        </w:rPr>
        <w:tab/>
        <w:t>Purpose</w:t>
      </w:r>
    </w:p>
    <w:p w14:paraId="70C0718B" w14:textId="77777777" w:rsidR="00456BD5" w:rsidRDefault="00456BD5" w:rsidP="00456BD5">
      <w:pPr>
        <w:rPr>
          <w:lang w:val="en-AU" w:eastAsia="en-GB" w:bidi="ar-SA"/>
        </w:rPr>
      </w:pPr>
    </w:p>
    <w:p w14:paraId="467BACBF" w14:textId="77FF8F1A" w:rsidR="00A251B9" w:rsidRDefault="00456BD5" w:rsidP="00456BD5">
      <w:pPr>
        <w:rPr>
          <w:lang w:val="en-AU" w:eastAsia="en-GB" w:bidi="ar-SA"/>
        </w:rPr>
      </w:pPr>
      <w:r>
        <w:rPr>
          <w:lang w:val="en-AU" w:eastAsia="en-GB" w:bidi="ar-SA"/>
        </w:rPr>
        <w:t xml:space="preserve">The Authority has approved </w:t>
      </w:r>
      <w:r w:rsidR="00A251B9">
        <w:rPr>
          <w:lang w:val="en-AU" w:eastAsia="en-GB" w:bidi="ar-SA"/>
        </w:rPr>
        <w:t>a variation to the table to section S20—3 to include maximum residue limits for avilamycin for specific pig commodities</w:t>
      </w:r>
      <w:r w:rsidR="00E130A6">
        <w:rPr>
          <w:lang w:val="en-AU" w:eastAsia="en-GB" w:bidi="ar-SA"/>
        </w:rPr>
        <w:t xml:space="preserve"> to harmonise with Codex MRLs</w:t>
      </w:r>
      <w:r w:rsidR="00A251B9">
        <w:rPr>
          <w:lang w:val="en-AU" w:eastAsia="en-GB" w:bidi="ar-SA"/>
        </w:rPr>
        <w:t>.</w:t>
      </w:r>
    </w:p>
    <w:p w14:paraId="19D687E2" w14:textId="77777777" w:rsidR="00A251B9" w:rsidRDefault="00A251B9" w:rsidP="00456BD5">
      <w:pPr>
        <w:rPr>
          <w:lang w:val="en-AU" w:eastAsia="en-GB" w:bidi="ar-SA"/>
        </w:rPr>
      </w:pPr>
    </w:p>
    <w:p w14:paraId="21D0CA66" w14:textId="69437FA3" w:rsidR="00456BD5" w:rsidRDefault="00A251B9" w:rsidP="00456BD5">
      <w:pPr>
        <w:rPr>
          <w:lang w:val="en-AU" w:eastAsia="en-GB" w:bidi="ar-SA"/>
        </w:rPr>
      </w:pPr>
      <w:r>
        <w:rPr>
          <w:lang w:val="en-AU" w:eastAsia="en-GB" w:bidi="ar-SA"/>
        </w:rPr>
        <w:t xml:space="preserve">Section S20—3 </w:t>
      </w:r>
      <w:r w:rsidR="00CB4265">
        <w:rPr>
          <w:lang w:val="en-AU" w:eastAsia="en-GB" w:bidi="ar-SA"/>
        </w:rPr>
        <w:t>list</w:t>
      </w:r>
      <w:r>
        <w:rPr>
          <w:lang w:val="en-AU" w:eastAsia="en-GB" w:bidi="ar-SA"/>
        </w:rPr>
        <w:t xml:space="preserve">s the limits for </w:t>
      </w:r>
      <w:r w:rsidR="00CB4265">
        <w:rPr>
          <w:lang w:val="en-AU" w:eastAsia="en-GB" w:bidi="ar-SA"/>
        </w:rPr>
        <w:t>agricultural</w:t>
      </w:r>
      <w:r>
        <w:rPr>
          <w:lang w:val="en-AU" w:eastAsia="en-GB" w:bidi="ar-SA"/>
        </w:rPr>
        <w:t xml:space="preserve"> and </w:t>
      </w:r>
      <w:r w:rsidR="00CB4265">
        <w:rPr>
          <w:lang w:val="en-AU" w:eastAsia="en-GB" w:bidi="ar-SA"/>
        </w:rPr>
        <w:t>veterinary</w:t>
      </w:r>
      <w:r>
        <w:rPr>
          <w:lang w:val="en-AU" w:eastAsia="en-GB" w:bidi="ar-SA"/>
        </w:rPr>
        <w:t xml:space="preserve"> chemical residues which may occur in foods. If a limit is not listed for a </w:t>
      </w:r>
      <w:r w:rsidR="00CB4265">
        <w:rPr>
          <w:lang w:val="en-AU" w:eastAsia="en-GB" w:bidi="ar-SA"/>
        </w:rPr>
        <w:t>particularly</w:t>
      </w:r>
      <w:r>
        <w:rPr>
          <w:lang w:val="en-AU" w:eastAsia="en-GB" w:bidi="ar-SA"/>
        </w:rPr>
        <w:t xml:space="preserve"> agricultural or veterinary chemical/food combination, there must be no detectable residues of that chemical in that food. This general prohibition means that, in the absence of the relevant limit in the Code, food may not be sold where</w:t>
      </w:r>
      <w:r w:rsidR="00957692">
        <w:rPr>
          <w:lang w:val="en-AU" w:eastAsia="en-GB" w:bidi="ar-SA"/>
        </w:rPr>
        <w:t xml:space="preserve"> there are detectable residues.</w:t>
      </w:r>
    </w:p>
    <w:p w14:paraId="61F169EB" w14:textId="77777777" w:rsidR="00456BD5" w:rsidRDefault="00456BD5" w:rsidP="00456BD5">
      <w:pPr>
        <w:rPr>
          <w:lang w:val="en-AU" w:eastAsia="en-GB" w:bidi="ar-SA"/>
        </w:rPr>
      </w:pPr>
    </w:p>
    <w:p w14:paraId="0579456D"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8690D0A" w14:textId="77777777" w:rsidR="00456BD5" w:rsidRDefault="00456BD5" w:rsidP="00456BD5">
      <w:pPr>
        <w:rPr>
          <w:lang w:val="en-AU" w:eastAsia="en-GB" w:bidi="ar-SA"/>
        </w:rPr>
      </w:pPr>
    </w:p>
    <w:p w14:paraId="1125F314"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7EB13D0" w14:textId="77777777" w:rsidR="00456BD5" w:rsidRDefault="00456BD5" w:rsidP="00456BD5">
      <w:pPr>
        <w:rPr>
          <w:lang w:val="en-AU" w:eastAsia="en-GB" w:bidi="ar-SA"/>
        </w:rPr>
      </w:pPr>
    </w:p>
    <w:p w14:paraId="106412B1"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6A2DDB01" w14:textId="77777777" w:rsidR="00456BD5" w:rsidRDefault="00456BD5" w:rsidP="00456BD5">
      <w:pPr>
        <w:rPr>
          <w:lang w:val="en-AU" w:eastAsia="en-GB" w:bidi="ar-SA"/>
        </w:rPr>
      </w:pPr>
    </w:p>
    <w:p w14:paraId="7C3792DF" w14:textId="519C135C" w:rsidR="00456BD5" w:rsidRPr="00DF7A67" w:rsidRDefault="00456BD5" w:rsidP="00456BD5">
      <w:pPr>
        <w:rPr>
          <w:szCs w:val="22"/>
        </w:rPr>
      </w:pPr>
      <w:r w:rsidRPr="00DF7A67">
        <w:rPr>
          <w:szCs w:val="22"/>
        </w:rPr>
        <w:t xml:space="preserve">In accordance with the procedure in Division </w:t>
      </w:r>
      <w:r w:rsidR="00A251B9" w:rsidRPr="00DF7A67">
        <w:rPr>
          <w:szCs w:val="22"/>
        </w:rPr>
        <w:t>1</w:t>
      </w:r>
      <w:r w:rsidRPr="00DF7A67">
        <w:rPr>
          <w:szCs w:val="22"/>
        </w:rPr>
        <w:t xml:space="preserve"> of Part </w:t>
      </w:r>
      <w:r w:rsidR="00A251B9" w:rsidRPr="00DF7A67">
        <w:rPr>
          <w:szCs w:val="22"/>
        </w:rPr>
        <w:t>3</w:t>
      </w:r>
      <w:r w:rsidRPr="00DF7A67">
        <w:rPr>
          <w:szCs w:val="22"/>
        </w:rPr>
        <w:t xml:space="preserve"> of the FSANZ Act, </w:t>
      </w:r>
      <w:r w:rsidRPr="00DF7A67">
        <w:rPr>
          <w:rFonts w:eastAsia="Calibri" w:cs="Arial"/>
          <w:bCs/>
          <w:szCs w:val="22"/>
          <w:lang w:val="en-AU" w:bidi="ar-SA"/>
        </w:rPr>
        <w:t>the Authority</w:t>
      </w:r>
      <w:r w:rsidRPr="00DF7A67">
        <w:rPr>
          <w:szCs w:val="22"/>
        </w:rPr>
        <w:t>’s consideration of Application A</w:t>
      </w:r>
      <w:r w:rsidR="00A251B9" w:rsidRPr="00DF7A67">
        <w:rPr>
          <w:szCs w:val="22"/>
        </w:rPr>
        <w:t>1133</w:t>
      </w:r>
      <w:r w:rsidRPr="00DF7A67">
        <w:rPr>
          <w:szCs w:val="22"/>
        </w:rPr>
        <w:t xml:space="preserve"> included one round of public consultation following an assessment and the preparation of a draft</w:t>
      </w:r>
      <w:r w:rsidR="00E130A6">
        <w:rPr>
          <w:szCs w:val="22"/>
        </w:rPr>
        <w:t xml:space="preserve"> variation to Schedule 20</w:t>
      </w:r>
      <w:r w:rsidRPr="00DF7A67">
        <w:rPr>
          <w:szCs w:val="22"/>
        </w:rPr>
        <w:t xml:space="preserve"> and associated report. </w:t>
      </w:r>
      <w:r w:rsidR="00A251B9" w:rsidRPr="00DF7A67">
        <w:rPr>
          <w:szCs w:val="22"/>
        </w:rPr>
        <w:t>Submissions were called for on 7 November 2016 for a four</w:t>
      </w:r>
      <w:r w:rsidR="00957692">
        <w:rPr>
          <w:szCs w:val="22"/>
        </w:rPr>
        <w:t>-week consultation period.</w:t>
      </w:r>
    </w:p>
    <w:p w14:paraId="5973A56B" w14:textId="7A678B88" w:rsidR="00456BD5" w:rsidRPr="00DF7A67" w:rsidRDefault="00456BD5" w:rsidP="00456BD5">
      <w:pPr>
        <w:rPr>
          <w:color w:val="FF0000"/>
          <w:lang w:val="en-AU"/>
        </w:rPr>
      </w:pPr>
    </w:p>
    <w:p w14:paraId="2A3E5D74" w14:textId="7519CD27" w:rsidR="00E1611A" w:rsidRDefault="00456BD5" w:rsidP="00E1611A">
      <w:pPr>
        <w:widowControl/>
        <w:autoSpaceDE w:val="0"/>
        <w:autoSpaceDN w:val="0"/>
        <w:adjustRightInd w:val="0"/>
      </w:pPr>
      <w:r w:rsidRPr="00DF7A67">
        <w:rPr>
          <w:rFonts w:eastAsia="Calibri" w:cs="Arial"/>
          <w:bCs/>
          <w:szCs w:val="22"/>
          <w:lang w:val="en-AU" w:bidi="ar-SA"/>
        </w:rPr>
        <w:t>A Regulation Impact Statement was not required because</w:t>
      </w:r>
      <w:r w:rsidR="00E1611A">
        <w:rPr>
          <w:rFonts w:eastAsia="Calibri" w:cs="Arial"/>
          <w:bCs/>
          <w:szCs w:val="22"/>
          <w:lang w:val="en-AU" w:bidi="ar-SA"/>
        </w:rPr>
        <w:t xml:space="preserve"> the Office of Best Practice Regulation provided an exemption relating to MRLs in 2010 (ID 12065).</w:t>
      </w:r>
    </w:p>
    <w:p w14:paraId="77E0A6FD" w14:textId="77777777" w:rsidR="00456BD5" w:rsidRDefault="00456BD5" w:rsidP="00456BD5">
      <w:pPr>
        <w:rPr>
          <w:color w:val="FF0000"/>
          <w:lang w:val="en-AU" w:eastAsia="en-GB" w:bidi="ar-SA"/>
        </w:rPr>
      </w:pPr>
    </w:p>
    <w:p w14:paraId="59CA7A70" w14:textId="77777777" w:rsidR="000802D4" w:rsidRDefault="000802D4" w:rsidP="00456BD5">
      <w:pPr>
        <w:widowControl/>
        <w:rPr>
          <w:rFonts w:eastAsiaTheme="minorHAnsi" w:cs="Arial"/>
          <w:b/>
          <w:bCs/>
          <w:szCs w:val="22"/>
          <w:lang w:val="en-AU" w:bidi="ar-SA"/>
        </w:rPr>
      </w:pPr>
      <w:r>
        <w:rPr>
          <w:rFonts w:eastAsiaTheme="minorHAnsi" w:cs="Arial"/>
          <w:b/>
          <w:bCs/>
          <w:szCs w:val="22"/>
          <w:lang w:val="en-AU" w:bidi="ar-SA"/>
        </w:rPr>
        <w:br w:type="page"/>
      </w:r>
    </w:p>
    <w:p w14:paraId="007340A9" w14:textId="4AE54D12" w:rsidR="00456BD5" w:rsidRDefault="00456BD5" w:rsidP="00456BD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6084338A" w14:textId="77777777" w:rsidR="00456BD5" w:rsidRDefault="00456BD5" w:rsidP="00456BD5">
      <w:pPr>
        <w:rPr>
          <w:rFonts w:eastAsiaTheme="minorHAnsi"/>
          <w:lang w:val="en-AU" w:bidi="ar-SA"/>
        </w:rPr>
      </w:pPr>
    </w:p>
    <w:p w14:paraId="4ABA0C0D"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E6D28A3" w14:textId="77777777" w:rsidR="00456BD5" w:rsidRDefault="00456BD5" w:rsidP="00456BD5">
      <w:pPr>
        <w:rPr>
          <w:rFonts w:eastAsiaTheme="minorHAnsi"/>
          <w:lang w:val="en-AU" w:bidi="ar-SA"/>
        </w:rPr>
      </w:pPr>
    </w:p>
    <w:p w14:paraId="1CBCCDDC"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12321FD5" w14:textId="58DCA7B5" w:rsidR="00456BD5" w:rsidRDefault="00456BD5" w:rsidP="00456BD5">
      <w:pPr>
        <w:rPr>
          <w:b/>
        </w:rPr>
      </w:pPr>
    </w:p>
    <w:p w14:paraId="778C6F76" w14:textId="163BE325" w:rsidR="00456BD5" w:rsidRDefault="00DF7A67" w:rsidP="00CC0FF3">
      <w:r w:rsidRPr="00DF7A67">
        <w:t xml:space="preserve">The </w:t>
      </w:r>
      <w:r>
        <w:t>variation amends the table to section S20—3 by inserting into that t</w:t>
      </w:r>
      <w:r w:rsidR="008F531F">
        <w:t>able an entry for the chemical a</w:t>
      </w:r>
      <w:r>
        <w:t xml:space="preserve">vilamycin. The new entry will provide </w:t>
      </w:r>
      <w:r w:rsidR="000802D4">
        <w:t>m</w:t>
      </w:r>
      <w:r>
        <w:t xml:space="preserve">aximum </w:t>
      </w:r>
      <w:r w:rsidR="000802D4">
        <w:t>r</w:t>
      </w:r>
      <w:r>
        <w:t xml:space="preserve">esidue </w:t>
      </w:r>
      <w:r w:rsidR="000802D4">
        <w:t>l</w:t>
      </w:r>
      <w:r>
        <w:t xml:space="preserve">imits for </w:t>
      </w:r>
      <w:r w:rsidR="008F531F">
        <w:t>a</w:t>
      </w:r>
      <w:r w:rsidR="00E130A6">
        <w:t>vilamycin using the permitted residue marker</w:t>
      </w:r>
      <w:r w:rsidR="001C26D0">
        <w:t>,</w:t>
      </w:r>
      <w:r w:rsidR="00E130A6">
        <w:t xml:space="preserve"> </w:t>
      </w:r>
      <w:r w:rsidR="001C26D0">
        <w:t>dichloroisoeverninic acid for</w:t>
      </w:r>
      <w:r w:rsidR="004C2223">
        <w:t xml:space="preserve"> four specific pig commodities.</w:t>
      </w:r>
      <w:bookmarkEnd w:id="115"/>
      <w:bookmarkEnd w:id="116"/>
    </w:p>
    <w:sectPr w:rsidR="00456BD5" w:rsidSect="003B1198">
      <w:footerReference w:type="default" r:id="rId2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014D4" w14:textId="77777777" w:rsidR="009A74F1" w:rsidRDefault="009A74F1">
      <w:r>
        <w:separator/>
      </w:r>
    </w:p>
    <w:p w14:paraId="19EBCBC8" w14:textId="77777777" w:rsidR="009A74F1" w:rsidRDefault="009A74F1"/>
  </w:endnote>
  <w:endnote w:type="continuationSeparator" w:id="0">
    <w:p w14:paraId="3232F380" w14:textId="77777777" w:rsidR="009A74F1" w:rsidRDefault="009A74F1">
      <w:r>
        <w:continuationSeparator/>
      </w:r>
    </w:p>
    <w:p w14:paraId="67B4436C" w14:textId="77777777" w:rsidR="009A74F1" w:rsidRDefault="009A74F1"/>
  </w:endnote>
  <w:endnote w:type="continuationNotice" w:id="1">
    <w:p w14:paraId="48274E91" w14:textId="77777777" w:rsidR="009A74F1" w:rsidRDefault="009A7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001C1" w14:textId="77777777" w:rsidR="00F12886" w:rsidRDefault="00F128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FF58B" w14:textId="77777777" w:rsidR="00F12886" w:rsidRDefault="00F12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2ECB78B6" w14:textId="77777777" w:rsidR="00F12886" w:rsidRDefault="00F12886" w:rsidP="00A671E6">
        <w:pPr>
          <w:pStyle w:val="Footer"/>
          <w:jc w:val="center"/>
        </w:pPr>
        <w:r>
          <w:fldChar w:fldCharType="begin"/>
        </w:r>
        <w:r>
          <w:instrText xml:space="preserve"> PAGE   \* MERGEFORMAT </w:instrText>
        </w:r>
        <w:r>
          <w:fldChar w:fldCharType="separate"/>
        </w:r>
        <w:r w:rsidR="009F73F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135044"/>
      <w:docPartObj>
        <w:docPartGallery w:val="Page Numbers (Bottom of Page)"/>
        <w:docPartUnique/>
      </w:docPartObj>
    </w:sdtPr>
    <w:sdtEndPr>
      <w:rPr>
        <w:noProof/>
      </w:rPr>
    </w:sdtEndPr>
    <w:sdtContent>
      <w:p w14:paraId="4964DDB2" w14:textId="77777777" w:rsidR="00F12886" w:rsidRDefault="00F12886" w:rsidP="00A671E6">
        <w:pPr>
          <w:pStyle w:val="Footer"/>
          <w:jc w:val="center"/>
        </w:pPr>
        <w:r>
          <w:fldChar w:fldCharType="begin"/>
        </w:r>
        <w:r>
          <w:instrText xml:space="preserve"> PAGE   \* MERGEFORMAT </w:instrText>
        </w:r>
        <w:r>
          <w:fldChar w:fldCharType="separate"/>
        </w:r>
        <w:r w:rsidR="009F73F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E2C61" w14:textId="4D304AF0" w:rsidR="009A74F1" w:rsidRDefault="009A74F1">
      <w:r>
        <w:separator/>
      </w:r>
    </w:p>
  </w:footnote>
  <w:footnote w:type="continuationSeparator" w:id="0">
    <w:p w14:paraId="0212EADD" w14:textId="774F9E80" w:rsidR="009A74F1" w:rsidRDefault="00CF2447">
      <w:r>
        <w:continuationSeparator/>
      </w:r>
    </w:p>
  </w:footnote>
  <w:footnote w:type="continuationNotice" w:id="1">
    <w:p w14:paraId="778D1933" w14:textId="77777777" w:rsidR="009A74F1" w:rsidRDefault="009A74F1"/>
  </w:footnote>
  <w:footnote w:id="2">
    <w:p w14:paraId="20AFDDDC" w14:textId="683A9C7E" w:rsidR="00F12886" w:rsidRPr="002048F8" w:rsidRDefault="00F12886" w:rsidP="00CF4837">
      <w:pPr>
        <w:pStyle w:val="FootnoteText"/>
        <w:rPr>
          <w:lang w:val="en-AU"/>
        </w:rPr>
      </w:pPr>
      <w:r w:rsidRPr="00DA4EF0">
        <w:rPr>
          <w:rStyle w:val="FootnoteReference"/>
          <w:sz w:val="18"/>
        </w:rPr>
        <w:footnoteRef/>
      </w:r>
      <w:r w:rsidRPr="00DA4EF0">
        <w:rPr>
          <w:sz w:val="18"/>
        </w:rPr>
        <w:t xml:space="preserve"> </w:t>
      </w:r>
      <w:hyperlink r:id="rId1" w:history="1">
        <w:r w:rsidRPr="00DB4975">
          <w:rPr>
            <w:rStyle w:val="Hyperlink"/>
            <w:sz w:val="18"/>
          </w:rPr>
          <w:t>http://www.foodstandards.gov.au/code/applications/Pages/A1133MRLs-for-Avilamycin.aspx</w:t>
        </w:r>
      </w:hyperlink>
    </w:p>
  </w:footnote>
  <w:footnote w:id="3">
    <w:p w14:paraId="1924E7CC" w14:textId="1C5E3A58" w:rsidR="00F12886" w:rsidRPr="00DA4EF0" w:rsidRDefault="00F12886">
      <w:pPr>
        <w:pStyle w:val="FootnoteText"/>
        <w:rPr>
          <w:sz w:val="18"/>
          <w:lang w:val="en-AU"/>
        </w:rPr>
      </w:pPr>
      <w:r>
        <w:rPr>
          <w:rStyle w:val="FootnoteReference"/>
        </w:rPr>
        <w:footnoteRef/>
      </w:r>
      <w:r>
        <w:t xml:space="preserve"> </w:t>
      </w:r>
      <w:r w:rsidRPr="00DA4EF0">
        <w:rPr>
          <w:sz w:val="18"/>
          <w:lang w:val="en-AU"/>
        </w:rPr>
        <w:t>The permitted residue definition for poultry MRLs in the table to S20—3 is “</w:t>
      </w:r>
      <w:r w:rsidRPr="00DA4EF0">
        <w:rPr>
          <w:i/>
          <w:sz w:val="18"/>
          <w:lang w:val="en-AU"/>
        </w:rPr>
        <w:t>Inhibitory substance, identified as avilamycin</w:t>
      </w:r>
      <w:r w:rsidRPr="00DA4EF0">
        <w:rPr>
          <w:sz w:val="18"/>
          <w:lang w:val="en-AU"/>
        </w:rPr>
        <w:t xml:space="preserve">”. </w:t>
      </w:r>
    </w:p>
  </w:footnote>
  <w:footnote w:id="4">
    <w:p w14:paraId="4AA1FCFA" w14:textId="438A1FE9" w:rsidR="00F12886" w:rsidRPr="00DA4EF0" w:rsidRDefault="00F12886" w:rsidP="004B2C4B">
      <w:pPr>
        <w:pStyle w:val="FootnoteText"/>
        <w:rPr>
          <w:sz w:val="18"/>
          <w:lang w:val="en-AU"/>
        </w:rPr>
      </w:pPr>
      <w:r w:rsidRPr="00DA4EF0">
        <w:rPr>
          <w:rStyle w:val="FootnoteReference"/>
          <w:sz w:val="18"/>
        </w:rPr>
        <w:footnoteRef/>
      </w:r>
      <w:r w:rsidRPr="00DA4EF0">
        <w:rPr>
          <w:sz w:val="18"/>
        </w:rPr>
        <w:t xml:space="preserve"> </w:t>
      </w:r>
      <w:hyperlink r:id="rId2" w:history="1">
        <w:r w:rsidRPr="00DA4EF0">
          <w:rPr>
            <w:rStyle w:val="Hyperlink"/>
            <w:sz w:val="18"/>
          </w:rPr>
          <w:t>Public Release Summary for Elanco AF0375 Surmax 100 Avilamycin premix</w:t>
        </w:r>
      </w:hyperlink>
      <w:r w:rsidRPr="00DA4EF0">
        <w:rPr>
          <w:sz w:val="18"/>
        </w:rPr>
        <w:t xml:space="preserve"> </w:t>
      </w:r>
      <w:hyperlink r:id="rId3" w:history="1">
        <w:r w:rsidRPr="00DA4EF0">
          <w:rPr>
            <w:rStyle w:val="Hyperlink"/>
            <w:sz w:val="18"/>
          </w:rPr>
          <w:t>http://apvma.gov.au/node/14116</w:t>
        </w:r>
      </w:hyperlink>
      <w:r>
        <w:rPr>
          <w:sz w:val="18"/>
        </w:rPr>
        <w:t xml:space="preserve"> (accessed 16/1/2017</w:t>
      </w:r>
      <w:r w:rsidRPr="00DA4EF0">
        <w:rPr>
          <w:sz w:val="18"/>
        </w:rPr>
        <w:t>)</w:t>
      </w:r>
      <w:r>
        <w:rPr>
          <w:sz w:val="18"/>
        </w:rPr>
        <w:t>.</w:t>
      </w:r>
    </w:p>
  </w:footnote>
  <w:footnote w:id="5">
    <w:p w14:paraId="4372E773" w14:textId="24F70889" w:rsidR="00F12886" w:rsidRPr="00DA4EF0" w:rsidRDefault="00F12886" w:rsidP="004B2C4B">
      <w:pPr>
        <w:pStyle w:val="FootnoteText"/>
        <w:rPr>
          <w:sz w:val="18"/>
          <w:szCs w:val="18"/>
          <w:lang w:val="en-AU"/>
        </w:rPr>
      </w:pPr>
      <w:r w:rsidRPr="00DA4EF0">
        <w:rPr>
          <w:rStyle w:val="FootnoteReference"/>
          <w:sz w:val="18"/>
        </w:rPr>
        <w:footnoteRef/>
      </w:r>
      <w:r w:rsidRPr="00DA4EF0">
        <w:rPr>
          <w:sz w:val="18"/>
        </w:rPr>
        <w:t xml:space="preserve"> The Agricultural and Veterinary Chemicals Code Instrument 4 (MRL Standard) lists MRLs for agvet </w:t>
      </w:r>
      <w:r>
        <w:t xml:space="preserve">chemicals </w:t>
      </w:r>
      <w:r w:rsidRPr="00DA4EF0">
        <w:rPr>
          <w:sz w:val="18"/>
          <w:szCs w:val="18"/>
        </w:rPr>
        <w:t xml:space="preserve">in agricultural produce particularly produce entering the food chain. Access via the Register of Legislation website at </w:t>
      </w:r>
      <w:hyperlink r:id="rId4" w:history="1">
        <w:r w:rsidRPr="00DA4EF0">
          <w:rPr>
            <w:rStyle w:val="Hyperlink"/>
            <w:sz w:val="18"/>
            <w:szCs w:val="18"/>
          </w:rPr>
          <w:t>https://www.legislation.gov.au/Series/F2012L02501</w:t>
        </w:r>
      </w:hyperlink>
      <w:r>
        <w:rPr>
          <w:sz w:val="18"/>
          <w:szCs w:val="18"/>
        </w:rPr>
        <w:t xml:space="preserve"> (accessed 16/1/2017</w:t>
      </w:r>
      <w:r w:rsidRPr="00DA4EF0">
        <w:rPr>
          <w:sz w:val="18"/>
          <w:szCs w:val="18"/>
        </w:rPr>
        <w:t>)</w:t>
      </w:r>
      <w:r>
        <w:rPr>
          <w:sz w:val="18"/>
          <w:szCs w:val="18"/>
        </w:rPr>
        <w:t>.</w:t>
      </w:r>
    </w:p>
  </w:footnote>
  <w:footnote w:id="6">
    <w:p w14:paraId="26A7C65E" w14:textId="77777777" w:rsidR="00F12886" w:rsidRPr="00DA4EF0" w:rsidRDefault="00F12886" w:rsidP="00FF4276">
      <w:pPr>
        <w:pStyle w:val="FootnoteText"/>
        <w:rPr>
          <w:rFonts w:cs="Arial"/>
          <w:color w:val="202020"/>
          <w:sz w:val="18"/>
          <w:szCs w:val="18"/>
        </w:rPr>
      </w:pPr>
      <w:r w:rsidRPr="00DA4EF0">
        <w:rPr>
          <w:rStyle w:val="FootnoteReference"/>
          <w:sz w:val="18"/>
          <w:szCs w:val="18"/>
        </w:rPr>
        <w:footnoteRef/>
      </w:r>
      <w:r w:rsidRPr="00DA4EF0">
        <w:rPr>
          <w:sz w:val="18"/>
          <w:szCs w:val="18"/>
        </w:rPr>
        <w:t xml:space="preserve"> </w:t>
      </w:r>
      <w:r w:rsidRPr="00DA4EF0">
        <w:rPr>
          <w:sz w:val="18"/>
          <w:szCs w:val="18"/>
          <w:lang w:val="en-AU"/>
        </w:rPr>
        <w:t xml:space="preserve">European Medicines Agency, Committee for Medicinal Products for Veterinary Use, Avilamycin summary report, 2007: </w:t>
      </w:r>
      <w:hyperlink r:id="rId5" w:history="1">
        <w:r w:rsidRPr="00DA4EF0">
          <w:rPr>
            <w:rStyle w:val="FollowedHyperlink"/>
            <w:sz w:val="18"/>
            <w:szCs w:val="18"/>
          </w:rPr>
          <w:t>http://www.ema.europa.eu/ema/pages/includes/document/open_document.jsp?webContentId=WC500010750</w:t>
        </w:r>
      </w:hyperlink>
    </w:p>
  </w:footnote>
  <w:footnote w:id="7">
    <w:p w14:paraId="2A25FE72" w14:textId="340F2FE9" w:rsidR="00F12886" w:rsidRPr="00DA4EF0" w:rsidRDefault="00F12886" w:rsidP="004B2C4B">
      <w:pPr>
        <w:pStyle w:val="FootnoteText"/>
        <w:rPr>
          <w:sz w:val="18"/>
          <w:szCs w:val="18"/>
          <w:lang w:val="en-AU"/>
        </w:rPr>
      </w:pPr>
      <w:r w:rsidRPr="00DA4EF0">
        <w:rPr>
          <w:rStyle w:val="FootnoteReference"/>
          <w:sz w:val="18"/>
          <w:szCs w:val="18"/>
        </w:rPr>
        <w:footnoteRef/>
      </w:r>
      <w:r w:rsidRPr="00DA4EF0">
        <w:rPr>
          <w:sz w:val="18"/>
          <w:szCs w:val="18"/>
        </w:rPr>
        <w:t xml:space="preserve"> </w:t>
      </w:r>
      <w:r w:rsidRPr="00DA4EF0">
        <w:rPr>
          <w:sz w:val="18"/>
          <w:szCs w:val="18"/>
          <w:lang w:val="en-AU"/>
        </w:rPr>
        <w:t xml:space="preserve">Seventieth report of the Joint FAO/WHO Expert Committee on Food Additives- evaluation of Avilamycin: </w:t>
      </w:r>
      <w:hyperlink r:id="rId6" w:history="1">
        <w:r w:rsidRPr="00DA4EF0">
          <w:rPr>
            <w:rStyle w:val="Hyperlink"/>
            <w:sz w:val="18"/>
            <w:szCs w:val="18"/>
          </w:rPr>
          <w:t>http://whqlibdoc.who.int/trs/WHO_TRS_954_eng.pdf</w:t>
        </w:r>
      </w:hyperlink>
      <w:r>
        <w:rPr>
          <w:sz w:val="18"/>
          <w:szCs w:val="18"/>
          <w:lang w:val="en-AU"/>
        </w:rPr>
        <w:t xml:space="preserve"> (accessed 16/1/2017</w:t>
      </w:r>
      <w:r w:rsidRPr="00DA4EF0">
        <w:rPr>
          <w:sz w:val="18"/>
          <w:szCs w:val="18"/>
          <w:lang w:val="en-AU"/>
        </w:rPr>
        <w:t>)</w:t>
      </w:r>
      <w:r>
        <w:rPr>
          <w:sz w:val="18"/>
          <w:szCs w:val="18"/>
          <w:lang w:val="en-AU"/>
        </w:rPr>
        <w:t>.</w:t>
      </w:r>
    </w:p>
  </w:footnote>
  <w:footnote w:id="8">
    <w:p w14:paraId="0E9F22D3" w14:textId="5C501619" w:rsidR="00F12886" w:rsidRPr="00DA4EF0" w:rsidRDefault="00F12886" w:rsidP="004B2C4B">
      <w:pPr>
        <w:pStyle w:val="FootnoteText"/>
        <w:rPr>
          <w:rFonts w:cs="Arial"/>
          <w:sz w:val="18"/>
          <w:szCs w:val="18"/>
          <w:lang w:val="en-AU"/>
        </w:rPr>
      </w:pPr>
      <w:r w:rsidRPr="00DA4EF0">
        <w:rPr>
          <w:rStyle w:val="FootnoteReference"/>
          <w:rFonts w:cs="Arial"/>
          <w:sz w:val="18"/>
          <w:szCs w:val="18"/>
        </w:rPr>
        <w:footnoteRef/>
      </w:r>
      <w:r w:rsidRPr="00DA4EF0">
        <w:rPr>
          <w:rFonts w:cs="Arial"/>
          <w:sz w:val="18"/>
          <w:szCs w:val="18"/>
        </w:rPr>
        <w:t xml:space="preserve"> Macquarie dictionary definition of ‘</w:t>
      </w:r>
      <w:r w:rsidRPr="00DA4EF0">
        <w:rPr>
          <w:rFonts w:cs="Arial"/>
          <w:sz w:val="18"/>
          <w:szCs w:val="18"/>
          <w:lang w:val="en-AU"/>
        </w:rPr>
        <w:t>Swine’ is a ‘</w:t>
      </w:r>
      <w:r w:rsidRPr="00DA4EF0">
        <w:rPr>
          <w:rFonts w:cs="Arial"/>
          <w:sz w:val="18"/>
          <w:szCs w:val="18"/>
        </w:rPr>
        <w:t>domestic pig’</w:t>
      </w:r>
      <w:r>
        <w:rPr>
          <w:rFonts w:cs="Arial"/>
          <w:sz w:val="18"/>
          <w:szCs w:val="18"/>
        </w:rPr>
        <w:t>.</w:t>
      </w:r>
    </w:p>
  </w:footnote>
  <w:footnote w:id="9">
    <w:p w14:paraId="0A07B01A" w14:textId="076C9B7F" w:rsidR="00F12886" w:rsidRPr="00DA4EF0" w:rsidRDefault="00F12886" w:rsidP="004B2C4B">
      <w:pPr>
        <w:pStyle w:val="FootnoteText"/>
        <w:rPr>
          <w:sz w:val="18"/>
          <w:szCs w:val="18"/>
          <w:lang w:val="en-AU"/>
        </w:rPr>
      </w:pPr>
      <w:r w:rsidRPr="00DA4EF0">
        <w:rPr>
          <w:rStyle w:val="FootnoteReference"/>
          <w:sz w:val="18"/>
          <w:szCs w:val="18"/>
        </w:rPr>
        <w:footnoteRef/>
      </w:r>
      <w:r w:rsidRPr="00DA4EF0">
        <w:rPr>
          <w:sz w:val="18"/>
          <w:szCs w:val="18"/>
        </w:rPr>
        <w:t xml:space="preserve"> </w:t>
      </w:r>
      <w:r w:rsidRPr="00DA4EF0">
        <w:rPr>
          <w:sz w:val="18"/>
          <w:szCs w:val="18"/>
          <w:lang w:val="en-AU"/>
        </w:rPr>
        <w:t>US FDA approval of Kavault</w:t>
      </w:r>
      <w:proofErr w:type="gramStart"/>
      <w:r w:rsidRPr="00DA4EF0">
        <w:rPr>
          <w:rFonts w:cs="Arial"/>
          <w:sz w:val="18"/>
          <w:szCs w:val="18"/>
          <w:lang w:val="en-AU"/>
        </w:rPr>
        <w:t>®</w:t>
      </w:r>
      <w:r w:rsidRPr="00DA4EF0">
        <w:rPr>
          <w:sz w:val="18"/>
          <w:szCs w:val="18"/>
          <w:lang w:val="en-AU"/>
        </w:rPr>
        <w:t xml:space="preserve">  </w:t>
      </w:r>
      <w:r w:rsidRPr="00DA4EF0">
        <w:rPr>
          <w:sz w:val="18"/>
          <w:szCs w:val="18"/>
        </w:rPr>
        <w:t>(</w:t>
      </w:r>
      <w:proofErr w:type="gramEnd"/>
      <w:r w:rsidRPr="00DA4EF0">
        <w:rPr>
          <w:sz w:val="18"/>
          <w:szCs w:val="18"/>
        </w:rPr>
        <w:t>NADA 141-438) containing the pharmaceutical active avilamycin</w:t>
      </w:r>
      <w:r w:rsidRPr="00DA4EF0">
        <w:rPr>
          <w:sz w:val="18"/>
          <w:szCs w:val="18"/>
          <w:lang w:val="en-AU"/>
        </w:rPr>
        <w:t xml:space="preserve"> </w:t>
      </w:r>
      <w:hyperlink r:id="rId7" w:history="1">
        <w:r w:rsidRPr="003E0840">
          <w:rPr>
            <w:rStyle w:val="Hyperlink"/>
          </w:rPr>
          <w:t>http://www.fda.gov/downloads/animalveterinary/products/approvedanimaldrugproducts/foiadrugsummaries/ucm449239.pdf</w:t>
        </w:r>
      </w:hyperlink>
      <w:r>
        <w:t xml:space="preserve"> </w:t>
      </w:r>
      <w:r>
        <w:rPr>
          <w:sz w:val="18"/>
          <w:szCs w:val="18"/>
          <w:lang w:val="en-AU"/>
        </w:rPr>
        <w:t>(accessed 17/2/2017</w:t>
      </w:r>
      <w:r w:rsidRPr="00DA4EF0">
        <w:rPr>
          <w:sz w:val="18"/>
          <w:szCs w:val="18"/>
          <w:lang w:val="en-AU"/>
        </w:rPr>
        <w:t>)</w:t>
      </w:r>
      <w:r>
        <w:rPr>
          <w:sz w:val="18"/>
          <w:szCs w:val="18"/>
          <w:lang w:val="en-AU"/>
        </w:rPr>
        <w:t>.</w:t>
      </w:r>
    </w:p>
  </w:footnote>
  <w:footnote w:id="10">
    <w:p w14:paraId="6100B313" w14:textId="6C960584" w:rsidR="00F12886" w:rsidRPr="00DA4EF0" w:rsidRDefault="00F12886">
      <w:pPr>
        <w:pStyle w:val="FootnoteText"/>
        <w:rPr>
          <w:sz w:val="18"/>
          <w:szCs w:val="18"/>
          <w:lang w:val="en-AU"/>
        </w:rPr>
      </w:pPr>
      <w:r w:rsidRPr="00DA4EF0">
        <w:rPr>
          <w:rStyle w:val="FootnoteReference"/>
          <w:sz w:val="18"/>
          <w:szCs w:val="18"/>
        </w:rPr>
        <w:footnoteRef/>
      </w:r>
      <w:r w:rsidRPr="00DA4EF0">
        <w:rPr>
          <w:sz w:val="18"/>
          <w:szCs w:val="18"/>
        </w:rPr>
        <w:t xml:space="preserve"> </w:t>
      </w:r>
      <w:r w:rsidRPr="00DA4EF0">
        <w:rPr>
          <w:sz w:val="18"/>
          <w:szCs w:val="18"/>
          <w:lang w:val="en-AU"/>
        </w:rPr>
        <w:t>Codex MRLs for pig commodities were established on the residue marker “</w:t>
      </w:r>
      <w:r w:rsidRPr="00DA4EF0">
        <w:rPr>
          <w:i/>
          <w:sz w:val="18"/>
          <w:szCs w:val="18"/>
        </w:rPr>
        <w:t>dichloroisoeverninic acid (DIA)</w:t>
      </w:r>
      <w:r w:rsidRPr="00DA4EF0">
        <w:rPr>
          <w:sz w:val="18"/>
          <w:szCs w:val="18"/>
        </w:rPr>
        <w:t>”</w:t>
      </w:r>
      <w:r>
        <w:rPr>
          <w:sz w:val="18"/>
          <w:szCs w:val="18"/>
        </w:rPr>
        <w:t>.</w:t>
      </w:r>
    </w:p>
  </w:footnote>
  <w:footnote w:id="11">
    <w:p w14:paraId="1073C1B6" w14:textId="2F012508" w:rsidR="00CF2447" w:rsidRPr="00CF2447" w:rsidRDefault="00CF2447">
      <w:pPr>
        <w:pStyle w:val="FootnoteText"/>
        <w:rPr>
          <w:lang w:val="en-AU"/>
        </w:rPr>
      </w:pPr>
      <w:r w:rsidRPr="00CF2447">
        <w:rPr>
          <w:rStyle w:val="FootnoteReference"/>
          <w:sz w:val="18"/>
        </w:rPr>
        <w:footnoteRef/>
      </w:r>
      <w:r w:rsidRPr="00CF2447">
        <w:rPr>
          <w:sz w:val="18"/>
        </w:rPr>
        <w:t xml:space="preserve"> </w:t>
      </w:r>
      <w:hyperlink r:id="rId8" w:history="1">
        <w:r w:rsidRPr="00CF2447">
          <w:rPr>
            <w:rStyle w:val="Hyperlink"/>
            <w:sz w:val="18"/>
          </w:rPr>
          <w:t>http://www.foodstandards.gov.au/code/fofr/fofrpolicy/pages/default.aspx</w:t>
        </w:r>
      </w:hyperlink>
      <w:r w:rsidRPr="00CF2447">
        <w:rPr>
          <w:sz w:val="18"/>
        </w:rPr>
        <w:t xml:space="preserve"> </w:t>
      </w:r>
    </w:p>
  </w:footnote>
  <w:footnote w:id="12">
    <w:p w14:paraId="2778DAAF" w14:textId="41F7CF6F" w:rsidR="00F12886" w:rsidRPr="008F531F" w:rsidRDefault="00F12886" w:rsidP="00D13F55">
      <w:pPr>
        <w:pStyle w:val="FootnoteText"/>
        <w:rPr>
          <w:sz w:val="18"/>
          <w:szCs w:val="18"/>
          <w:lang w:val="en-AU"/>
        </w:rPr>
      </w:pPr>
      <w:r w:rsidRPr="008F531F">
        <w:rPr>
          <w:rStyle w:val="FootnoteReference"/>
          <w:sz w:val="18"/>
          <w:szCs w:val="18"/>
        </w:rPr>
        <w:footnoteRef/>
      </w:r>
      <w:r w:rsidRPr="008F531F">
        <w:rPr>
          <w:sz w:val="18"/>
          <w:szCs w:val="18"/>
        </w:rPr>
        <w:t xml:space="preserve"> </w:t>
      </w:r>
      <w:r w:rsidRPr="008F531F">
        <w:rPr>
          <w:sz w:val="18"/>
          <w:szCs w:val="18"/>
          <w:lang w:val="en-AU"/>
        </w:rPr>
        <w:t xml:space="preserve">JECFA monograph for avilamycin (2009): </w:t>
      </w:r>
      <w:hyperlink r:id="rId9" w:history="1">
        <w:r w:rsidR="008F531F" w:rsidRPr="00B3499F">
          <w:rPr>
            <w:rStyle w:val="Hyperlink"/>
            <w:sz w:val="18"/>
            <w:szCs w:val="18"/>
            <w:lang w:val="en-AU"/>
          </w:rPr>
          <w:t>http://apps.who.int/food-additives-contaminants-jecfa-database/chemical.aspx?chemID=5871</w:t>
        </w:r>
      </w:hyperlink>
      <w:r w:rsidR="008F531F">
        <w:rPr>
          <w:sz w:val="18"/>
          <w:szCs w:val="18"/>
          <w:lang w:val="en-AU"/>
        </w:rPr>
        <w:t xml:space="preserve"> </w:t>
      </w:r>
      <w:r w:rsidRPr="008F531F">
        <w:rPr>
          <w:rStyle w:val="Hyperlink"/>
          <w:color w:val="auto"/>
          <w:sz w:val="18"/>
          <w:szCs w:val="18"/>
          <w:u w:val="none"/>
          <w:lang w:val="en-AU"/>
        </w:rPr>
        <w:t>(accessed 16/1/2017)</w:t>
      </w:r>
    </w:p>
  </w:footnote>
  <w:footnote w:id="13">
    <w:p w14:paraId="6E5ABFCC" w14:textId="7E6B39FF" w:rsidR="00F12886" w:rsidRPr="00827400" w:rsidRDefault="00F12886" w:rsidP="00A70B50">
      <w:pPr>
        <w:pStyle w:val="FootnoteText"/>
        <w:rPr>
          <w:lang w:val="en-AU"/>
        </w:rPr>
      </w:pPr>
      <w:r w:rsidRPr="003E3E91">
        <w:rPr>
          <w:rStyle w:val="FootnoteReference"/>
          <w:sz w:val="18"/>
        </w:rPr>
        <w:footnoteRef/>
      </w:r>
      <w:r w:rsidRPr="003E3E91">
        <w:rPr>
          <w:sz w:val="18"/>
        </w:rPr>
        <w:t xml:space="preserve"> </w:t>
      </w:r>
      <w:hyperlink r:id="rId10" w:history="1">
        <w:r w:rsidRPr="00DA4EF0">
          <w:rPr>
            <w:rStyle w:val="Hyperlink"/>
            <w:sz w:val="18"/>
            <w:szCs w:val="18"/>
          </w:rPr>
          <w:t>http://www.foodstandards.gov.au/science/exposure/Pages/dietaryexposureandin4438.aspx</w:t>
        </w:r>
      </w:hyperlink>
      <w:r>
        <w:rPr>
          <w:rStyle w:val="Hyperlink"/>
          <w:sz w:val="18"/>
          <w:szCs w:val="18"/>
        </w:rPr>
        <w:t xml:space="preserve"> </w:t>
      </w:r>
      <w:r w:rsidRPr="00827400">
        <w:rPr>
          <w:rStyle w:val="Hyperlink"/>
          <w:color w:val="auto"/>
          <w:sz w:val="18"/>
          <w:szCs w:val="18"/>
          <w:u w:val="none"/>
        </w:rPr>
        <w:t>(accessed 16/1/2017)</w:t>
      </w:r>
    </w:p>
  </w:footnote>
  <w:footnote w:id="14">
    <w:p w14:paraId="0F658C59" w14:textId="399BE5D0" w:rsidR="00F12886" w:rsidRPr="008E570A" w:rsidRDefault="00F12886" w:rsidP="007E5FC8">
      <w:pPr>
        <w:pStyle w:val="FootnoteText"/>
        <w:rPr>
          <w:lang w:val="en-AU"/>
        </w:rPr>
      </w:pPr>
      <w:r w:rsidRPr="00AF372E">
        <w:rPr>
          <w:rStyle w:val="FootnoteReference"/>
          <w:sz w:val="18"/>
        </w:rPr>
        <w:footnoteRef/>
      </w:r>
      <w:r w:rsidRPr="00AF372E">
        <w:rPr>
          <w:sz w:val="18"/>
        </w:rPr>
        <w:t xml:space="preserve"> </w:t>
      </w:r>
      <w:r w:rsidRPr="00DA4EF0">
        <w:rPr>
          <w:sz w:val="18"/>
          <w:szCs w:val="18"/>
        </w:rPr>
        <w:t xml:space="preserve">Information about New Zealand MRL Standard available on New Zealand Ministry for Primary Industries website at </w:t>
      </w:r>
      <w:hyperlink r:id="rId11" w:history="1">
        <w:r w:rsidRPr="006A75EB">
          <w:rPr>
            <w:rStyle w:val="Hyperlink"/>
          </w:rPr>
          <w:t>http://www.foodsafety.govt.nz/elibrary/industry/register-list-mrl-agricultural-compounds.htm</w:t>
        </w:r>
      </w:hyperlink>
      <w:r>
        <w:t xml:space="preserve"> </w:t>
      </w:r>
      <w:r>
        <w:rPr>
          <w:sz w:val="18"/>
          <w:szCs w:val="18"/>
        </w:rPr>
        <w:t xml:space="preserve"> (accessed 16/1/2017</w:t>
      </w:r>
      <w:r w:rsidRPr="00DA4EF0">
        <w:rPr>
          <w:sz w:val="18"/>
          <w:szCs w:val="18"/>
        </w:rPr>
        <w:t>)</w:t>
      </w:r>
    </w:p>
  </w:footnote>
  <w:footnote w:id="15">
    <w:p w14:paraId="5A9E82E8" w14:textId="77777777" w:rsidR="008F531F" w:rsidRPr="00CF2447" w:rsidRDefault="008F531F" w:rsidP="008F531F">
      <w:pPr>
        <w:pStyle w:val="FootnoteText"/>
        <w:rPr>
          <w:lang w:val="en-AU"/>
        </w:rPr>
      </w:pPr>
      <w:r w:rsidRPr="00CF2447">
        <w:rPr>
          <w:rStyle w:val="FootnoteReference"/>
          <w:sz w:val="18"/>
        </w:rPr>
        <w:footnoteRef/>
      </w:r>
      <w:r w:rsidRPr="00CF2447">
        <w:rPr>
          <w:sz w:val="18"/>
        </w:rPr>
        <w:t xml:space="preserve"> </w:t>
      </w:r>
      <w:hyperlink r:id="rId12" w:history="1">
        <w:r w:rsidRPr="00CF2447">
          <w:rPr>
            <w:rStyle w:val="Hyperlink"/>
            <w:sz w:val="18"/>
          </w:rPr>
          <w:t>http://www.foodstandards.gov.au/code/fofr/fofrpolicy/pages/default.aspx</w:t>
        </w:r>
      </w:hyperlink>
      <w:r w:rsidRPr="00CF2447">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3324A" w14:textId="77777777" w:rsidR="00F12886" w:rsidRDefault="00F1288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5D9"/>
    <w:multiLevelType w:val="hybridMultilevel"/>
    <w:tmpl w:val="AEC2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2A623654"/>
    <w:multiLevelType w:val="hybridMultilevel"/>
    <w:tmpl w:val="F75E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B1F45744"/>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F0634E"/>
    <w:multiLevelType w:val="hybridMultilevel"/>
    <w:tmpl w:val="B23C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834"/>
    <w:rsid w:val="00001C95"/>
    <w:rsid w:val="0000247B"/>
    <w:rsid w:val="000038E9"/>
    <w:rsid w:val="0000469B"/>
    <w:rsid w:val="00010922"/>
    <w:rsid w:val="00010E79"/>
    <w:rsid w:val="00011187"/>
    <w:rsid w:val="00012BB2"/>
    <w:rsid w:val="00013C8B"/>
    <w:rsid w:val="00014E34"/>
    <w:rsid w:val="00022EFC"/>
    <w:rsid w:val="00030601"/>
    <w:rsid w:val="00031C2F"/>
    <w:rsid w:val="000332AE"/>
    <w:rsid w:val="00035FF3"/>
    <w:rsid w:val="000418F0"/>
    <w:rsid w:val="00044809"/>
    <w:rsid w:val="00044F3A"/>
    <w:rsid w:val="00051021"/>
    <w:rsid w:val="000524F0"/>
    <w:rsid w:val="00052D54"/>
    <w:rsid w:val="000567FE"/>
    <w:rsid w:val="000576EB"/>
    <w:rsid w:val="00061CC5"/>
    <w:rsid w:val="00064B2D"/>
    <w:rsid w:val="00065589"/>
    <w:rsid w:val="00065F1F"/>
    <w:rsid w:val="00076D33"/>
    <w:rsid w:val="00076D3B"/>
    <w:rsid w:val="00077859"/>
    <w:rsid w:val="00077AEA"/>
    <w:rsid w:val="000802D4"/>
    <w:rsid w:val="00081B0A"/>
    <w:rsid w:val="00096D29"/>
    <w:rsid w:val="000A0E8D"/>
    <w:rsid w:val="000A3233"/>
    <w:rsid w:val="000A3D8B"/>
    <w:rsid w:val="000B427A"/>
    <w:rsid w:val="000B520E"/>
    <w:rsid w:val="000B6AF2"/>
    <w:rsid w:val="000C268F"/>
    <w:rsid w:val="000C2FB6"/>
    <w:rsid w:val="000D2C0F"/>
    <w:rsid w:val="000D56E9"/>
    <w:rsid w:val="000D6FD4"/>
    <w:rsid w:val="000D7B1C"/>
    <w:rsid w:val="000D7C18"/>
    <w:rsid w:val="000E0AE4"/>
    <w:rsid w:val="000E1EA4"/>
    <w:rsid w:val="000E3DBC"/>
    <w:rsid w:val="000E662F"/>
    <w:rsid w:val="000F16A6"/>
    <w:rsid w:val="000F222E"/>
    <w:rsid w:val="000F33FA"/>
    <w:rsid w:val="000F3CFE"/>
    <w:rsid w:val="000F47DD"/>
    <w:rsid w:val="000F6568"/>
    <w:rsid w:val="00101FE6"/>
    <w:rsid w:val="00102819"/>
    <w:rsid w:val="00104544"/>
    <w:rsid w:val="001066F5"/>
    <w:rsid w:val="00106B3E"/>
    <w:rsid w:val="0010708C"/>
    <w:rsid w:val="0010778D"/>
    <w:rsid w:val="001122EC"/>
    <w:rsid w:val="00121CBA"/>
    <w:rsid w:val="0012388D"/>
    <w:rsid w:val="001242E1"/>
    <w:rsid w:val="0012588F"/>
    <w:rsid w:val="00136B57"/>
    <w:rsid w:val="001373E9"/>
    <w:rsid w:val="00140037"/>
    <w:rsid w:val="00140F62"/>
    <w:rsid w:val="0014273C"/>
    <w:rsid w:val="00143EDA"/>
    <w:rsid w:val="00145763"/>
    <w:rsid w:val="00146245"/>
    <w:rsid w:val="0014723E"/>
    <w:rsid w:val="00150B54"/>
    <w:rsid w:val="0015187A"/>
    <w:rsid w:val="00152897"/>
    <w:rsid w:val="00153F25"/>
    <w:rsid w:val="00165258"/>
    <w:rsid w:val="00171E2B"/>
    <w:rsid w:val="001768B6"/>
    <w:rsid w:val="00182C4C"/>
    <w:rsid w:val="0018762C"/>
    <w:rsid w:val="001878C5"/>
    <w:rsid w:val="00192BF3"/>
    <w:rsid w:val="0019399D"/>
    <w:rsid w:val="00195A72"/>
    <w:rsid w:val="001977BA"/>
    <w:rsid w:val="00197A6C"/>
    <w:rsid w:val="00197D8D"/>
    <w:rsid w:val="001A1A75"/>
    <w:rsid w:val="001A1F2B"/>
    <w:rsid w:val="001A2DFA"/>
    <w:rsid w:val="001A429C"/>
    <w:rsid w:val="001A7E9A"/>
    <w:rsid w:val="001B2B8E"/>
    <w:rsid w:val="001B7038"/>
    <w:rsid w:val="001B738D"/>
    <w:rsid w:val="001C26D0"/>
    <w:rsid w:val="001C27A3"/>
    <w:rsid w:val="001C67F1"/>
    <w:rsid w:val="001D1F05"/>
    <w:rsid w:val="001D43F6"/>
    <w:rsid w:val="001D54BC"/>
    <w:rsid w:val="001E09FA"/>
    <w:rsid w:val="001E2123"/>
    <w:rsid w:val="001E7C1D"/>
    <w:rsid w:val="001E7ED4"/>
    <w:rsid w:val="001F3BFF"/>
    <w:rsid w:val="001F43D7"/>
    <w:rsid w:val="001F7F63"/>
    <w:rsid w:val="00201CAA"/>
    <w:rsid w:val="00202A6F"/>
    <w:rsid w:val="002048F8"/>
    <w:rsid w:val="00204D33"/>
    <w:rsid w:val="0020648C"/>
    <w:rsid w:val="0022197C"/>
    <w:rsid w:val="00221D07"/>
    <w:rsid w:val="00223664"/>
    <w:rsid w:val="00224E3B"/>
    <w:rsid w:val="00227E4A"/>
    <w:rsid w:val="002405A4"/>
    <w:rsid w:val="002421B8"/>
    <w:rsid w:val="002421C1"/>
    <w:rsid w:val="002441B0"/>
    <w:rsid w:val="002467E0"/>
    <w:rsid w:val="002468F9"/>
    <w:rsid w:val="00250197"/>
    <w:rsid w:val="0025669F"/>
    <w:rsid w:val="002650CA"/>
    <w:rsid w:val="00272738"/>
    <w:rsid w:val="002758A0"/>
    <w:rsid w:val="002760DE"/>
    <w:rsid w:val="00280C66"/>
    <w:rsid w:val="00291103"/>
    <w:rsid w:val="0029204E"/>
    <w:rsid w:val="00292B9B"/>
    <w:rsid w:val="002A0194"/>
    <w:rsid w:val="002A5660"/>
    <w:rsid w:val="002A5F8B"/>
    <w:rsid w:val="002A7F6C"/>
    <w:rsid w:val="002B0071"/>
    <w:rsid w:val="002B1819"/>
    <w:rsid w:val="002C1A3B"/>
    <w:rsid w:val="002C292A"/>
    <w:rsid w:val="002C5A74"/>
    <w:rsid w:val="002C7E27"/>
    <w:rsid w:val="002D3769"/>
    <w:rsid w:val="002D45EC"/>
    <w:rsid w:val="002D57DC"/>
    <w:rsid w:val="002E16D5"/>
    <w:rsid w:val="002E1820"/>
    <w:rsid w:val="002E3B42"/>
    <w:rsid w:val="002E3EB5"/>
    <w:rsid w:val="002F0C93"/>
    <w:rsid w:val="002F35EA"/>
    <w:rsid w:val="002F4D63"/>
    <w:rsid w:val="002F6488"/>
    <w:rsid w:val="002F72D5"/>
    <w:rsid w:val="00305C54"/>
    <w:rsid w:val="0031016C"/>
    <w:rsid w:val="0031426B"/>
    <w:rsid w:val="003213F9"/>
    <w:rsid w:val="00323AB6"/>
    <w:rsid w:val="00323DBF"/>
    <w:rsid w:val="003249DB"/>
    <w:rsid w:val="00326D08"/>
    <w:rsid w:val="00327867"/>
    <w:rsid w:val="00327876"/>
    <w:rsid w:val="0033093C"/>
    <w:rsid w:val="00332B12"/>
    <w:rsid w:val="00333C8E"/>
    <w:rsid w:val="00337CBC"/>
    <w:rsid w:val="003428FC"/>
    <w:rsid w:val="00344164"/>
    <w:rsid w:val="00346622"/>
    <w:rsid w:val="003507DB"/>
    <w:rsid w:val="00351B07"/>
    <w:rsid w:val="0036024B"/>
    <w:rsid w:val="003608A7"/>
    <w:rsid w:val="00364DB2"/>
    <w:rsid w:val="00364F9E"/>
    <w:rsid w:val="0036533D"/>
    <w:rsid w:val="00371B29"/>
    <w:rsid w:val="0037390B"/>
    <w:rsid w:val="003766F8"/>
    <w:rsid w:val="00380106"/>
    <w:rsid w:val="003814F0"/>
    <w:rsid w:val="00381E07"/>
    <w:rsid w:val="0038215B"/>
    <w:rsid w:val="00383D83"/>
    <w:rsid w:val="00385788"/>
    <w:rsid w:val="00386530"/>
    <w:rsid w:val="00387AE9"/>
    <w:rsid w:val="0039099E"/>
    <w:rsid w:val="00391769"/>
    <w:rsid w:val="003953E1"/>
    <w:rsid w:val="003956B3"/>
    <w:rsid w:val="003A0A4D"/>
    <w:rsid w:val="003A3D30"/>
    <w:rsid w:val="003A432A"/>
    <w:rsid w:val="003A5AF5"/>
    <w:rsid w:val="003A5B10"/>
    <w:rsid w:val="003A68BE"/>
    <w:rsid w:val="003A7B84"/>
    <w:rsid w:val="003B1198"/>
    <w:rsid w:val="003B31D2"/>
    <w:rsid w:val="003B575E"/>
    <w:rsid w:val="003B6AE7"/>
    <w:rsid w:val="003C039F"/>
    <w:rsid w:val="003C1E9B"/>
    <w:rsid w:val="003C4605"/>
    <w:rsid w:val="003C4969"/>
    <w:rsid w:val="003D07EE"/>
    <w:rsid w:val="003D2CDC"/>
    <w:rsid w:val="003D4F04"/>
    <w:rsid w:val="003E2D1F"/>
    <w:rsid w:val="003E41D5"/>
    <w:rsid w:val="003E46BA"/>
    <w:rsid w:val="003F64EB"/>
    <w:rsid w:val="003F6D89"/>
    <w:rsid w:val="003F74C1"/>
    <w:rsid w:val="00401252"/>
    <w:rsid w:val="00401ADE"/>
    <w:rsid w:val="00405AED"/>
    <w:rsid w:val="00405B1A"/>
    <w:rsid w:val="00405E12"/>
    <w:rsid w:val="00410C76"/>
    <w:rsid w:val="00411572"/>
    <w:rsid w:val="00411907"/>
    <w:rsid w:val="004170A6"/>
    <w:rsid w:val="00417EE3"/>
    <w:rsid w:val="004207EB"/>
    <w:rsid w:val="00421730"/>
    <w:rsid w:val="00421B64"/>
    <w:rsid w:val="00422EC9"/>
    <w:rsid w:val="00423AC7"/>
    <w:rsid w:val="00432A42"/>
    <w:rsid w:val="00437276"/>
    <w:rsid w:val="0044439F"/>
    <w:rsid w:val="00444406"/>
    <w:rsid w:val="004446DC"/>
    <w:rsid w:val="00453646"/>
    <w:rsid w:val="00456B54"/>
    <w:rsid w:val="00456BD5"/>
    <w:rsid w:val="004600FF"/>
    <w:rsid w:val="00464643"/>
    <w:rsid w:val="004659BD"/>
    <w:rsid w:val="00486664"/>
    <w:rsid w:val="00486793"/>
    <w:rsid w:val="00486C66"/>
    <w:rsid w:val="00493CED"/>
    <w:rsid w:val="00494A3F"/>
    <w:rsid w:val="004A19A8"/>
    <w:rsid w:val="004A2037"/>
    <w:rsid w:val="004A793C"/>
    <w:rsid w:val="004A7CD4"/>
    <w:rsid w:val="004B047B"/>
    <w:rsid w:val="004B2C4B"/>
    <w:rsid w:val="004B3E05"/>
    <w:rsid w:val="004B4824"/>
    <w:rsid w:val="004B4CDC"/>
    <w:rsid w:val="004B630A"/>
    <w:rsid w:val="004C14AF"/>
    <w:rsid w:val="004C2223"/>
    <w:rsid w:val="004C3F16"/>
    <w:rsid w:val="004D121E"/>
    <w:rsid w:val="004D193C"/>
    <w:rsid w:val="004D1B1C"/>
    <w:rsid w:val="004F4F98"/>
    <w:rsid w:val="004F5C7D"/>
    <w:rsid w:val="004F69F6"/>
    <w:rsid w:val="004F79AC"/>
    <w:rsid w:val="00506E9B"/>
    <w:rsid w:val="005108E9"/>
    <w:rsid w:val="00511561"/>
    <w:rsid w:val="00513F3E"/>
    <w:rsid w:val="00514195"/>
    <w:rsid w:val="0051526E"/>
    <w:rsid w:val="005207D8"/>
    <w:rsid w:val="00521242"/>
    <w:rsid w:val="00523930"/>
    <w:rsid w:val="005244F1"/>
    <w:rsid w:val="0052674B"/>
    <w:rsid w:val="00531F59"/>
    <w:rsid w:val="00534065"/>
    <w:rsid w:val="00537CDC"/>
    <w:rsid w:val="00556A84"/>
    <w:rsid w:val="00560185"/>
    <w:rsid w:val="00562917"/>
    <w:rsid w:val="00565095"/>
    <w:rsid w:val="00567592"/>
    <w:rsid w:val="00571B8C"/>
    <w:rsid w:val="00580DDF"/>
    <w:rsid w:val="005811B7"/>
    <w:rsid w:val="0058590E"/>
    <w:rsid w:val="00586228"/>
    <w:rsid w:val="005928F3"/>
    <w:rsid w:val="00593015"/>
    <w:rsid w:val="005946D3"/>
    <w:rsid w:val="00597631"/>
    <w:rsid w:val="00597E07"/>
    <w:rsid w:val="005A572E"/>
    <w:rsid w:val="005A60A7"/>
    <w:rsid w:val="005A7194"/>
    <w:rsid w:val="005B084E"/>
    <w:rsid w:val="005B1FC5"/>
    <w:rsid w:val="005B6046"/>
    <w:rsid w:val="005B6AF4"/>
    <w:rsid w:val="005C04CB"/>
    <w:rsid w:val="005C57B6"/>
    <w:rsid w:val="005D16AD"/>
    <w:rsid w:val="005D2016"/>
    <w:rsid w:val="005D27DB"/>
    <w:rsid w:val="005D3D88"/>
    <w:rsid w:val="005D72E1"/>
    <w:rsid w:val="005E06C0"/>
    <w:rsid w:val="005E3FFB"/>
    <w:rsid w:val="005E5854"/>
    <w:rsid w:val="005E58D3"/>
    <w:rsid w:val="005E6E16"/>
    <w:rsid w:val="005F400E"/>
    <w:rsid w:val="005F69BD"/>
    <w:rsid w:val="005F7342"/>
    <w:rsid w:val="00607645"/>
    <w:rsid w:val="00610A3C"/>
    <w:rsid w:val="006138D7"/>
    <w:rsid w:val="00615E83"/>
    <w:rsid w:val="00616017"/>
    <w:rsid w:val="00616760"/>
    <w:rsid w:val="00616D65"/>
    <w:rsid w:val="00617238"/>
    <w:rsid w:val="00626F91"/>
    <w:rsid w:val="0062742F"/>
    <w:rsid w:val="00627F48"/>
    <w:rsid w:val="0063455F"/>
    <w:rsid w:val="00635814"/>
    <w:rsid w:val="00635A4E"/>
    <w:rsid w:val="00636632"/>
    <w:rsid w:val="00643A31"/>
    <w:rsid w:val="006542AE"/>
    <w:rsid w:val="00661328"/>
    <w:rsid w:val="00662A68"/>
    <w:rsid w:val="00663D36"/>
    <w:rsid w:val="00663FCF"/>
    <w:rsid w:val="0066498C"/>
    <w:rsid w:val="006652A2"/>
    <w:rsid w:val="00667CB7"/>
    <w:rsid w:val="00667F4E"/>
    <w:rsid w:val="00683071"/>
    <w:rsid w:val="006849A0"/>
    <w:rsid w:val="00692490"/>
    <w:rsid w:val="006969CC"/>
    <w:rsid w:val="00696A15"/>
    <w:rsid w:val="006A48A7"/>
    <w:rsid w:val="006A5D40"/>
    <w:rsid w:val="006B1EB2"/>
    <w:rsid w:val="006B3BEB"/>
    <w:rsid w:val="006C06FE"/>
    <w:rsid w:val="006C172D"/>
    <w:rsid w:val="006C1A63"/>
    <w:rsid w:val="006C22A7"/>
    <w:rsid w:val="006C5CF5"/>
    <w:rsid w:val="006C7E51"/>
    <w:rsid w:val="006D0F35"/>
    <w:rsid w:val="006D33FF"/>
    <w:rsid w:val="006D6A29"/>
    <w:rsid w:val="006D71C0"/>
    <w:rsid w:val="006E10A1"/>
    <w:rsid w:val="006E3F0E"/>
    <w:rsid w:val="006F0C6D"/>
    <w:rsid w:val="006F3460"/>
    <w:rsid w:val="006F3D76"/>
    <w:rsid w:val="006F4A82"/>
    <w:rsid w:val="0070012E"/>
    <w:rsid w:val="0070405C"/>
    <w:rsid w:val="00705668"/>
    <w:rsid w:val="0070793E"/>
    <w:rsid w:val="00710C37"/>
    <w:rsid w:val="007124B1"/>
    <w:rsid w:val="007143DE"/>
    <w:rsid w:val="00724FA4"/>
    <w:rsid w:val="00730800"/>
    <w:rsid w:val="007333C0"/>
    <w:rsid w:val="0075034A"/>
    <w:rsid w:val="00755F02"/>
    <w:rsid w:val="007602AA"/>
    <w:rsid w:val="00761E63"/>
    <w:rsid w:val="007652EF"/>
    <w:rsid w:val="007653A6"/>
    <w:rsid w:val="00765DE1"/>
    <w:rsid w:val="00767FEF"/>
    <w:rsid w:val="007708FF"/>
    <w:rsid w:val="00772BDC"/>
    <w:rsid w:val="00777437"/>
    <w:rsid w:val="00780792"/>
    <w:rsid w:val="0078309E"/>
    <w:rsid w:val="0079117A"/>
    <w:rsid w:val="00795D86"/>
    <w:rsid w:val="00795F51"/>
    <w:rsid w:val="007A44B4"/>
    <w:rsid w:val="007A53BF"/>
    <w:rsid w:val="007A7D3D"/>
    <w:rsid w:val="007B195B"/>
    <w:rsid w:val="007B1F96"/>
    <w:rsid w:val="007B225D"/>
    <w:rsid w:val="007B37B3"/>
    <w:rsid w:val="007B49E6"/>
    <w:rsid w:val="007B6612"/>
    <w:rsid w:val="007C1C64"/>
    <w:rsid w:val="007C22CB"/>
    <w:rsid w:val="007D0189"/>
    <w:rsid w:val="007D39C8"/>
    <w:rsid w:val="007E48BC"/>
    <w:rsid w:val="007E5FC8"/>
    <w:rsid w:val="007E65CA"/>
    <w:rsid w:val="007E79F7"/>
    <w:rsid w:val="007F3630"/>
    <w:rsid w:val="007F3878"/>
    <w:rsid w:val="007F7BF7"/>
    <w:rsid w:val="007F7FBD"/>
    <w:rsid w:val="00800CFE"/>
    <w:rsid w:val="008036F7"/>
    <w:rsid w:val="00807559"/>
    <w:rsid w:val="00813464"/>
    <w:rsid w:val="00815360"/>
    <w:rsid w:val="0081651D"/>
    <w:rsid w:val="00826AC3"/>
    <w:rsid w:val="00827400"/>
    <w:rsid w:val="00830AF0"/>
    <w:rsid w:val="00831154"/>
    <w:rsid w:val="00834271"/>
    <w:rsid w:val="008410C0"/>
    <w:rsid w:val="008435FE"/>
    <w:rsid w:val="008450BC"/>
    <w:rsid w:val="00846618"/>
    <w:rsid w:val="00847066"/>
    <w:rsid w:val="00850B09"/>
    <w:rsid w:val="00852BC2"/>
    <w:rsid w:val="0085334B"/>
    <w:rsid w:val="0085378A"/>
    <w:rsid w:val="008537BA"/>
    <w:rsid w:val="00856712"/>
    <w:rsid w:val="00860808"/>
    <w:rsid w:val="00860ACA"/>
    <w:rsid w:val="00861C13"/>
    <w:rsid w:val="00862349"/>
    <w:rsid w:val="0086571E"/>
    <w:rsid w:val="00870214"/>
    <w:rsid w:val="00871116"/>
    <w:rsid w:val="008762B9"/>
    <w:rsid w:val="00885C51"/>
    <w:rsid w:val="00896B85"/>
    <w:rsid w:val="00897971"/>
    <w:rsid w:val="008A243D"/>
    <w:rsid w:val="008A458E"/>
    <w:rsid w:val="008C28E2"/>
    <w:rsid w:val="008C316C"/>
    <w:rsid w:val="008C4E76"/>
    <w:rsid w:val="008D06C6"/>
    <w:rsid w:val="008D5E9D"/>
    <w:rsid w:val="008E5F2A"/>
    <w:rsid w:val="008E6250"/>
    <w:rsid w:val="008F0618"/>
    <w:rsid w:val="008F4F6F"/>
    <w:rsid w:val="008F531F"/>
    <w:rsid w:val="008F7290"/>
    <w:rsid w:val="008F78CA"/>
    <w:rsid w:val="00906F1F"/>
    <w:rsid w:val="00907E1F"/>
    <w:rsid w:val="00912152"/>
    <w:rsid w:val="0091711F"/>
    <w:rsid w:val="00917C6F"/>
    <w:rsid w:val="00920249"/>
    <w:rsid w:val="00920E0D"/>
    <w:rsid w:val="00932F14"/>
    <w:rsid w:val="00933FE3"/>
    <w:rsid w:val="0094247F"/>
    <w:rsid w:val="00942D60"/>
    <w:rsid w:val="0094358A"/>
    <w:rsid w:val="009460FA"/>
    <w:rsid w:val="00947534"/>
    <w:rsid w:val="009478A1"/>
    <w:rsid w:val="009516B7"/>
    <w:rsid w:val="00951A49"/>
    <w:rsid w:val="00957692"/>
    <w:rsid w:val="00960C58"/>
    <w:rsid w:val="0096523B"/>
    <w:rsid w:val="0096671C"/>
    <w:rsid w:val="00972D06"/>
    <w:rsid w:val="009856FA"/>
    <w:rsid w:val="00986D5F"/>
    <w:rsid w:val="00987104"/>
    <w:rsid w:val="00991558"/>
    <w:rsid w:val="0099227F"/>
    <w:rsid w:val="0099323D"/>
    <w:rsid w:val="0099623A"/>
    <w:rsid w:val="009967ED"/>
    <w:rsid w:val="009A03B7"/>
    <w:rsid w:val="009A2699"/>
    <w:rsid w:val="009A2C5E"/>
    <w:rsid w:val="009A2DC9"/>
    <w:rsid w:val="009A391C"/>
    <w:rsid w:val="009A74F1"/>
    <w:rsid w:val="009B3E86"/>
    <w:rsid w:val="009B44D8"/>
    <w:rsid w:val="009C0C75"/>
    <w:rsid w:val="009C4CDC"/>
    <w:rsid w:val="009D3C06"/>
    <w:rsid w:val="009D4F0A"/>
    <w:rsid w:val="009E0A61"/>
    <w:rsid w:val="009E3010"/>
    <w:rsid w:val="009E3DF8"/>
    <w:rsid w:val="009E46F5"/>
    <w:rsid w:val="009E7BE0"/>
    <w:rsid w:val="009F00E4"/>
    <w:rsid w:val="009F3AB3"/>
    <w:rsid w:val="009F4EAE"/>
    <w:rsid w:val="009F7065"/>
    <w:rsid w:val="009F73F4"/>
    <w:rsid w:val="00A01E93"/>
    <w:rsid w:val="00A23548"/>
    <w:rsid w:val="00A2449C"/>
    <w:rsid w:val="00A251B9"/>
    <w:rsid w:val="00A26AA1"/>
    <w:rsid w:val="00A318EB"/>
    <w:rsid w:val="00A32FBB"/>
    <w:rsid w:val="00A37A23"/>
    <w:rsid w:val="00A416FE"/>
    <w:rsid w:val="00A47855"/>
    <w:rsid w:val="00A551A5"/>
    <w:rsid w:val="00A551B9"/>
    <w:rsid w:val="00A56D86"/>
    <w:rsid w:val="00A56DC7"/>
    <w:rsid w:val="00A60462"/>
    <w:rsid w:val="00A65C3D"/>
    <w:rsid w:val="00A66FDD"/>
    <w:rsid w:val="00A671E6"/>
    <w:rsid w:val="00A709E5"/>
    <w:rsid w:val="00A70B50"/>
    <w:rsid w:val="00A71446"/>
    <w:rsid w:val="00A74FD1"/>
    <w:rsid w:val="00A815E6"/>
    <w:rsid w:val="00A84A58"/>
    <w:rsid w:val="00A903E9"/>
    <w:rsid w:val="00A929A9"/>
    <w:rsid w:val="00A93150"/>
    <w:rsid w:val="00A9629F"/>
    <w:rsid w:val="00A96594"/>
    <w:rsid w:val="00AA0E38"/>
    <w:rsid w:val="00AA20E2"/>
    <w:rsid w:val="00AA41BA"/>
    <w:rsid w:val="00AA6D0D"/>
    <w:rsid w:val="00AA6FA3"/>
    <w:rsid w:val="00AB06A2"/>
    <w:rsid w:val="00AB2030"/>
    <w:rsid w:val="00AB2A6B"/>
    <w:rsid w:val="00AB4C1E"/>
    <w:rsid w:val="00AB5EA3"/>
    <w:rsid w:val="00AB694B"/>
    <w:rsid w:val="00AC428E"/>
    <w:rsid w:val="00AC5985"/>
    <w:rsid w:val="00AD1276"/>
    <w:rsid w:val="00AD344F"/>
    <w:rsid w:val="00AD3951"/>
    <w:rsid w:val="00AD4DAE"/>
    <w:rsid w:val="00AE4353"/>
    <w:rsid w:val="00AE4FFD"/>
    <w:rsid w:val="00AF1FB9"/>
    <w:rsid w:val="00AF24FA"/>
    <w:rsid w:val="00AF2656"/>
    <w:rsid w:val="00AF387F"/>
    <w:rsid w:val="00AF397D"/>
    <w:rsid w:val="00AF6A96"/>
    <w:rsid w:val="00B00807"/>
    <w:rsid w:val="00B00E7F"/>
    <w:rsid w:val="00B04DBE"/>
    <w:rsid w:val="00B05455"/>
    <w:rsid w:val="00B11B4A"/>
    <w:rsid w:val="00B1309D"/>
    <w:rsid w:val="00B17112"/>
    <w:rsid w:val="00B21055"/>
    <w:rsid w:val="00B21DCC"/>
    <w:rsid w:val="00B25F37"/>
    <w:rsid w:val="00B303E2"/>
    <w:rsid w:val="00B30674"/>
    <w:rsid w:val="00B36DA7"/>
    <w:rsid w:val="00B37158"/>
    <w:rsid w:val="00B377CE"/>
    <w:rsid w:val="00B40587"/>
    <w:rsid w:val="00B425AA"/>
    <w:rsid w:val="00B4348C"/>
    <w:rsid w:val="00B43CAD"/>
    <w:rsid w:val="00B44422"/>
    <w:rsid w:val="00B464CC"/>
    <w:rsid w:val="00B46EA0"/>
    <w:rsid w:val="00B51B01"/>
    <w:rsid w:val="00B52E26"/>
    <w:rsid w:val="00B54EF0"/>
    <w:rsid w:val="00B55714"/>
    <w:rsid w:val="00B63BBA"/>
    <w:rsid w:val="00B65B0A"/>
    <w:rsid w:val="00B72495"/>
    <w:rsid w:val="00B731D3"/>
    <w:rsid w:val="00B75B57"/>
    <w:rsid w:val="00B77C18"/>
    <w:rsid w:val="00B80ECB"/>
    <w:rsid w:val="00B811B3"/>
    <w:rsid w:val="00B839A3"/>
    <w:rsid w:val="00B87C73"/>
    <w:rsid w:val="00B9019A"/>
    <w:rsid w:val="00B902BD"/>
    <w:rsid w:val="00B92367"/>
    <w:rsid w:val="00B92501"/>
    <w:rsid w:val="00BA1009"/>
    <w:rsid w:val="00BA5B79"/>
    <w:rsid w:val="00BB0EC9"/>
    <w:rsid w:val="00BB1E4F"/>
    <w:rsid w:val="00BC343D"/>
    <w:rsid w:val="00BC43F9"/>
    <w:rsid w:val="00BC7CE3"/>
    <w:rsid w:val="00BC7D81"/>
    <w:rsid w:val="00BD1145"/>
    <w:rsid w:val="00BD2A39"/>
    <w:rsid w:val="00BD2E80"/>
    <w:rsid w:val="00BD3CB2"/>
    <w:rsid w:val="00BD49FF"/>
    <w:rsid w:val="00BD4B64"/>
    <w:rsid w:val="00BD77E1"/>
    <w:rsid w:val="00BE11B8"/>
    <w:rsid w:val="00BE67DB"/>
    <w:rsid w:val="00BF38C7"/>
    <w:rsid w:val="00BF45A3"/>
    <w:rsid w:val="00BF48E3"/>
    <w:rsid w:val="00BF7FF0"/>
    <w:rsid w:val="00C034B6"/>
    <w:rsid w:val="00C052B3"/>
    <w:rsid w:val="00C11AEA"/>
    <w:rsid w:val="00C12502"/>
    <w:rsid w:val="00C1380C"/>
    <w:rsid w:val="00C24051"/>
    <w:rsid w:val="00C26A31"/>
    <w:rsid w:val="00C26B3B"/>
    <w:rsid w:val="00C27330"/>
    <w:rsid w:val="00C40AA5"/>
    <w:rsid w:val="00C445B6"/>
    <w:rsid w:val="00C46AC7"/>
    <w:rsid w:val="00C46F70"/>
    <w:rsid w:val="00C476D0"/>
    <w:rsid w:val="00C50DC5"/>
    <w:rsid w:val="00C52616"/>
    <w:rsid w:val="00C55B28"/>
    <w:rsid w:val="00C57724"/>
    <w:rsid w:val="00C610A7"/>
    <w:rsid w:val="00C62F50"/>
    <w:rsid w:val="00C6434A"/>
    <w:rsid w:val="00C64480"/>
    <w:rsid w:val="00C64555"/>
    <w:rsid w:val="00C664A1"/>
    <w:rsid w:val="00C74398"/>
    <w:rsid w:val="00C75D16"/>
    <w:rsid w:val="00C81D3D"/>
    <w:rsid w:val="00C830B9"/>
    <w:rsid w:val="00C836E3"/>
    <w:rsid w:val="00C836FF"/>
    <w:rsid w:val="00C854DC"/>
    <w:rsid w:val="00C86577"/>
    <w:rsid w:val="00C91C02"/>
    <w:rsid w:val="00C91DD6"/>
    <w:rsid w:val="00C92E07"/>
    <w:rsid w:val="00C96868"/>
    <w:rsid w:val="00CA0416"/>
    <w:rsid w:val="00CA3382"/>
    <w:rsid w:val="00CA476A"/>
    <w:rsid w:val="00CA550E"/>
    <w:rsid w:val="00CA5734"/>
    <w:rsid w:val="00CA69A3"/>
    <w:rsid w:val="00CA78FC"/>
    <w:rsid w:val="00CB0A25"/>
    <w:rsid w:val="00CB115C"/>
    <w:rsid w:val="00CB4265"/>
    <w:rsid w:val="00CC0FF3"/>
    <w:rsid w:val="00CC25EF"/>
    <w:rsid w:val="00CC25F5"/>
    <w:rsid w:val="00CC3764"/>
    <w:rsid w:val="00CC3A35"/>
    <w:rsid w:val="00CC5468"/>
    <w:rsid w:val="00CC560B"/>
    <w:rsid w:val="00CC740D"/>
    <w:rsid w:val="00CC75E2"/>
    <w:rsid w:val="00CD1267"/>
    <w:rsid w:val="00CD46EB"/>
    <w:rsid w:val="00CD7437"/>
    <w:rsid w:val="00CD7EBF"/>
    <w:rsid w:val="00CE2380"/>
    <w:rsid w:val="00CE59AA"/>
    <w:rsid w:val="00CE7866"/>
    <w:rsid w:val="00CF0E86"/>
    <w:rsid w:val="00CF2447"/>
    <w:rsid w:val="00CF3FB7"/>
    <w:rsid w:val="00CF4837"/>
    <w:rsid w:val="00CF7196"/>
    <w:rsid w:val="00D00706"/>
    <w:rsid w:val="00D00DFA"/>
    <w:rsid w:val="00D01B6D"/>
    <w:rsid w:val="00D02947"/>
    <w:rsid w:val="00D056F1"/>
    <w:rsid w:val="00D06616"/>
    <w:rsid w:val="00D07B96"/>
    <w:rsid w:val="00D07D1B"/>
    <w:rsid w:val="00D1227D"/>
    <w:rsid w:val="00D13F55"/>
    <w:rsid w:val="00D144D7"/>
    <w:rsid w:val="00D15A08"/>
    <w:rsid w:val="00D2241B"/>
    <w:rsid w:val="00D235B1"/>
    <w:rsid w:val="00D23DB6"/>
    <w:rsid w:val="00D3472F"/>
    <w:rsid w:val="00D35188"/>
    <w:rsid w:val="00D45C38"/>
    <w:rsid w:val="00D51A95"/>
    <w:rsid w:val="00D60568"/>
    <w:rsid w:val="00D60825"/>
    <w:rsid w:val="00D70C7A"/>
    <w:rsid w:val="00D72A29"/>
    <w:rsid w:val="00D734CC"/>
    <w:rsid w:val="00D73623"/>
    <w:rsid w:val="00D834AB"/>
    <w:rsid w:val="00D834E5"/>
    <w:rsid w:val="00D8759D"/>
    <w:rsid w:val="00D9242C"/>
    <w:rsid w:val="00D939E4"/>
    <w:rsid w:val="00D9482C"/>
    <w:rsid w:val="00D95366"/>
    <w:rsid w:val="00D96C9C"/>
    <w:rsid w:val="00DA0E04"/>
    <w:rsid w:val="00DA10A8"/>
    <w:rsid w:val="00DA132C"/>
    <w:rsid w:val="00DA2840"/>
    <w:rsid w:val="00DA4736"/>
    <w:rsid w:val="00DA4EF0"/>
    <w:rsid w:val="00DB123A"/>
    <w:rsid w:val="00DB1E08"/>
    <w:rsid w:val="00DB2973"/>
    <w:rsid w:val="00DB2ED2"/>
    <w:rsid w:val="00DB4975"/>
    <w:rsid w:val="00DB498B"/>
    <w:rsid w:val="00DC0FBA"/>
    <w:rsid w:val="00DC1B56"/>
    <w:rsid w:val="00DC20CC"/>
    <w:rsid w:val="00DC2129"/>
    <w:rsid w:val="00DC4DD9"/>
    <w:rsid w:val="00DC6570"/>
    <w:rsid w:val="00DD062F"/>
    <w:rsid w:val="00DD1BC1"/>
    <w:rsid w:val="00DD2188"/>
    <w:rsid w:val="00DD265C"/>
    <w:rsid w:val="00DD3703"/>
    <w:rsid w:val="00DE09BF"/>
    <w:rsid w:val="00DE457C"/>
    <w:rsid w:val="00DE5528"/>
    <w:rsid w:val="00DF25C3"/>
    <w:rsid w:val="00DF365C"/>
    <w:rsid w:val="00DF5CFF"/>
    <w:rsid w:val="00DF72BB"/>
    <w:rsid w:val="00DF7A67"/>
    <w:rsid w:val="00E01933"/>
    <w:rsid w:val="00E03010"/>
    <w:rsid w:val="00E04062"/>
    <w:rsid w:val="00E05DC4"/>
    <w:rsid w:val="00E063C6"/>
    <w:rsid w:val="00E111C2"/>
    <w:rsid w:val="00E130A6"/>
    <w:rsid w:val="00E1611A"/>
    <w:rsid w:val="00E1659E"/>
    <w:rsid w:val="00E2003B"/>
    <w:rsid w:val="00E21391"/>
    <w:rsid w:val="00E2159A"/>
    <w:rsid w:val="00E233D2"/>
    <w:rsid w:val="00E267A5"/>
    <w:rsid w:val="00E26887"/>
    <w:rsid w:val="00E279D8"/>
    <w:rsid w:val="00E30092"/>
    <w:rsid w:val="00E307C8"/>
    <w:rsid w:val="00E319B1"/>
    <w:rsid w:val="00E327A6"/>
    <w:rsid w:val="00E3684F"/>
    <w:rsid w:val="00E47D3B"/>
    <w:rsid w:val="00E5492F"/>
    <w:rsid w:val="00E572B1"/>
    <w:rsid w:val="00E61206"/>
    <w:rsid w:val="00E6369A"/>
    <w:rsid w:val="00E65009"/>
    <w:rsid w:val="00E6787D"/>
    <w:rsid w:val="00E70A86"/>
    <w:rsid w:val="00E7192C"/>
    <w:rsid w:val="00E73B13"/>
    <w:rsid w:val="00E73E50"/>
    <w:rsid w:val="00E777EC"/>
    <w:rsid w:val="00E80FCD"/>
    <w:rsid w:val="00E838CF"/>
    <w:rsid w:val="00E86AD8"/>
    <w:rsid w:val="00E90116"/>
    <w:rsid w:val="00E908BB"/>
    <w:rsid w:val="00E90CD6"/>
    <w:rsid w:val="00E92E6F"/>
    <w:rsid w:val="00EA2226"/>
    <w:rsid w:val="00EA3700"/>
    <w:rsid w:val="00EA7DB0"/>
    <w:rsid w:val="00EA7F2F"/>
    <w:rsid w:val="00EB576F"/>
    <w:rsid w:val="00EB6590"/>
    <w:rsid w:val="00EC00DE"/>
    <w:rsid w:val="00EC21DF"/>
    <w:rsid w:val="00EC30E1"/>
    <w:rsid w:val="00EC3436"/>
    <w:rsid w:val="00EC66BB"/>
    <w:rsid w:val="00ED172A"/>
    <w:rsid w:val="00EE01DC"/>
    <w:rsid w:val="00EE04A9"/>
    <w:rsid w:val="00EE1758"/>
    <w:rsid w:val="00EE1D78"/>
    <w:rsid w:val="00F01C46"/>
    <w:rsid w:val="00F021D4"/>
    <w:rsid w:val="00F03DBF"/>
    <w:rsid w:val="00F10AAD"/>
    <w:rsid w:val="00F12886"/>
    <w:rsid w:val="00F13CFC"/>
    <w:rsid w:val="00F14AB3"/>
    <w:rsid w:val="00F14BEC"/>
    <w:rsid w:val="00F14F43"/>
    <w:rsid w:val="00F15ED2"/>
    <w:rsid w:val="00F224B7"/>
    <w:rsid w:val="00F225C5"/>
    <w:rsid w:val="00F23453"/>
    <w:rsid w:val="00F23476"/>
    <w:rsid w:val="00F2587A"/>
    <w:rsid w:val="00F25B1B"/>
    <w:rsid w:val="00F323BF"/>
    <w:rsid w:val="00F33470"/>
    <w:rsid w:val="00F334DE"/>
    <w:rsid w:val="00F34E02"/>
    <w:rsid w:val="00F34E4C"/>
    <w:rsid w:val="00F3501E"/>
    <w:rsid w:val="00F351D8"/>
    <w:rsid w:val="00F36C86"/>
    <w:rsid w:val="00F3715D"/>
    <w:rsid w:val="00F37A10"/>
    <w:rsid w:val="00F420C8"/>
    <w:rsid w:val="00F42A4C"/>
    <w:rsid w:val="00F526BD"/>
    <w:rsid w:val="00F54188"/>
    <w:rsid w:val="00F54482"/>
    <w:rsid w:val="00F6018A"/>
    <w:rsid w:val="00F634A1"/>
    <w:rsid w:val="00F65DBC"/>
    <w:rsid w:val="00F7225E"/>
    <w:rsid w:val="00F77C18"/>
    <w:rsid w:val="00F8004C"/>
    <w:rsid w:val="00F84392"/>
    <w:rsid w:val="00F8602E"/>
    <w:rsid w:val="00F87254"/>
    <w:rsid w:val="00F91764"/>
    <w:rsid w:val="00F97C93"/>
    <w:rsid w:val="00FA54E9"/>
    <w:rsid w:val="00FB3C3C"/>
    <w:rsid w:val="00FB4153"/>
    <w:rsid w:val="00FB5450"/>
    <w:rsid w:val="00FB613A"/>
    <w:rsid w:val="00FB7512"/>
    <w:rsid w:val="00FC161A"/>
    <w:rsid w:val="00FC553F"/>
    <w:rsid w:val="00FC7F35"/>
    <w:rsid w:val="00FD0D2C"/>
    <w:rsid w:val="00FD12C0"/>
    <w:rsid w:val="00FD20F5"/>
    <w:rsid w:val="00FD2924"/>
    <w:rsid w:val="00FD7547"/>
    <w:rsid w:val="00FD7B06"/>
    <w:rsid w:val="00FE0687"/>
    <w:rsid w:val="00FE142A"/>
    <w:rsid w:val="00FE287B"/>
    <w:rsid w:val="00FE414C"/>
    <w:rsid w:val="00FE655D"/>
    <w:rsid w:val="00FE6B50"/>
    <w:rsid w:val="00FE740E"/>
    <w:rsid w:val="00FE7C66"/>
    <w:rsid w:val="00FF1B03"/>
    <w:rsid w:val="00FF3F7C"/>
    <w:rsid w:val="00FF427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C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661328"/>
    <w:pPr>
      <w:widowControl/>
      <w:numPr>
        <w:numId w:val="1"/>
      </w:numPr>
      <w:ind w:left="567" w:hanging="567"/>
    </w:pPr>
    <w:rPr>
      <w:rFonts w:cs="Arial"/>
      <w:lang w:bidi="ar-SA"/>
    </w:rPr>
  </w:style>
  <w:style w:type="character" w:customStyle="1" w:styleId="FSBullet1Char">
    <w:name w:val="FSBullet 1 Char"/>
    <w:link w:val="FSBullet1"/>
    <w:rsid w:val="00661328"/>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Title">
    <w:name w:val="Title"/>
    <w:basedOn w:val="Normal"/>
    <w:link w:val="TitleChar"/>
    <w:rsid w:val="002760DE"/>
    <w:pPr>
      <w:widowControl/>
      <w:jc w:val="center"/>
    </w:pPr>
    <w:rPr>
      <w:b/>
      <w:bCs/>
      <w:i/>
      <w:iCs/>
      <w:lang w:val="en-AU" w:bidi="ar-SA"/>
    </w:rPr>
  </w:style>
  <w:style w:type="character" w:customStyle="1" w:styleId="TitleChar">
    <w:name w:val="Title Char"/>
    <w:basedOn w:val="DefaultParagraphFont"/>
    <w:link w:val="Title"/>
    <w:rsid w:val="002760DE"/>
    <w:rPr>
      <w:rFonts w:ascii="Arial" w:hAnsi="Arial"/>
      <w:b/>
      <w:bCs/>
      <w:i/>
      <w:iCs/>
      <w:sz w:val="22"/>
      <w:szCs w:val="24"/>
      <w:lang w:val="en-AU" w:eastAsia="en-US"/>
    </w:rPr>
  </w:style>
  <w:style w:type="table" w:styleId="LightList-Accent1">
    <w:name w:val="Light List Accent 1"/>
    <w:basedOn w:val="TableNormal"/>
    <w:uiPriority w:val="61"/>
    <w:rsid w:val="004B2C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rsid w:val="00FE655D"/>
    <w:pPr>
      <w:ind w:left="720"/>
      <w:contextualSpacing/>
    </w:pPr>
  </w:style>
  <w:style w:type="character" w:styleId="Emphasis">
    <w:name w:val="Emphasis"/>
    <w:basedOn w:val="DefaultParagraphFont"/>
    <w:uiPriority w:val="20"/>
    <w:qFormat/>
    <w:rsid w:val="00CF7196"/>
    <w:rPr>
      <w:i/>
      <w:iCs/>
    </w:rPr>
  </w:style>
  <w:style w:type="paragraph" w:customStyle="1" w:styleId="FSTableColumnRowheading">
    <w:name w:val="FSTable Column/Row heading"/>
    <w:basedOn w:val="Normal"/>
    <w:uiPriority w:val="8"/>
    <w:qFormat/>
    <w:locked/>
    <w:rsid w:val="00A9629F"/>
    <w:pPr>
      <w:widowControl/>
      <w:spacing w:before="120" w:after="120"/>
    </w:pPr>
    <w:rPr>
      <w:rFonts w:eastAsiaTheme="minorHAnsi" w:cstheme="minorBidi"/>
      <w:b/>
      <w:sz w:val="20"/>
      <w:szCs w:val="20"/>
      <w:lang w:bidi="ar-SA"/>
    </w:rPr>
  </w:style>
  <w:style w:type="table" w:styleId="MediumGrid3-Accent1">
    <w:name w:val="Medium Grid 3 Accent 1"/>
    <w:basedOn w:val="TableNormal"/>
    <w:uiPriority w:val="69"/>
    <w:rsid w:val="005F69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ndnoteText">
    <w:name w:val="endnote text"/>
    <w:basedOn w:val="Normal"/>
    <w:link w:val="EndnoteTextChar"/>
    <w:rsid w:val="00CF2447"/>
    <w:rPr>
      <w:sz w:val="20"/>
      <w:szCs w:val="20"/>
    </w:rPr>
  </w:style>
  <w:style w:type="character" w:customStyle="1" w:styleId="EndnoteTextChar">
    <w:name w:val="Endnote Text Char"/>
    <w:basedOn w:val="DefaultParagraphFont"/>
    <w:link w:val="EndnoteText"/>
    <w:rsid w:val="00CF2447"/>
    <w:rPr>
      <w:rFonts w:ascii="Arial" w:hAnsi="Arial"/>
      <w:lang w:eastAsia="en-US" w:bidi="en-US"/>
    </w:rPr>
  </w:style>
  <w:style w:type="character" w:styleId="EndnoteReference">
    <w:name w:val="endnote reference"/>
    <w:basedOn w:val="DefaultParagraphFont"/>
    <w:rsid w:val="00CF24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Default Paragraph Font" w:uiPriority="1"/>
    <w:lsdException w:name="Subtitle" w:uiPriority="11"/>
    <w:lsdException w:name="Hyperlink" w:uiPriority="99"/>
    <w:lsdException w:name="Strong" w:uiPriority="22"/>
    <w:lsdException w:name="Emphasis" w:uiPriority="20"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661328"/>
    <w:pPr>
      <w:widowControl/>
      <w:numPr>
        <w:numId w:val="1"/>
      </w:numPr>
      <w:ind w:left="567" w:hanging="567"/>
    </w:pPr>
    <w:rPr>
      <w:rFonts w:cs="Arial"/>
      <w:lang w:bidi="ar-SA"/>
    </w:rPr>
  </w:style>
  <w:style w:type="character" w:customStyle="1" w:styleId="FSBullet1Char">
    <w:name w:val="FSBullet 1 Char"/>
    <w:link w:val="FSBullet1"/>
    <w:rsid w:val="00661328"/>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Title">
    <w:name w:val="Title"/>
    <w:basedOn w:val="Normal"/>
    <w:link w:val="TitleChar"/>
    <w:rsid w:val="002760DE"/>
    <w:pPr>
      <w:widowControl/>
      <w:jc w:val="center"/>
    </w:pPr>
    <w:rPr>
      <w:b/>
      <w:bCs/>
      <w:i/>
      <w:iCs/>
      <w:lang w:val="en-AU" w:bidi="ar-SA"/>
    </w:rPr>
  </w:style>
  <w:style w:type="character" w:customStyle="1" w:styleId="TitleChar">
    <w:name w:val="Title Char"/>
    <w:basedOn w:val="DefaultParagraphFont"/>
    <w:link w:val="Title"/>
    <w:rsid w:val="002760DE"/>
    <w:rPr>
      <w:rFonts w:ascii="Arial" w:hAnsi="Arial"/>
      <w:b/>
      <w:bCs/>
      <w:i/>
      <w:iCs/>
      <w:sz w:val="22"/>
      <w:szCs w:val="24"/>
      <w:lang w:val="en-AU" w:eastAsia="en-US"/>
    </w:rPr>
  </w:style>
  <w:style w:type="table" w:styleId="LightList-Accent1">
    <w:name w:val="Light List Accent 1"/>
    <w:basedOn w:val="TableNormal"/>
    <w:uiPriority w:val="61"/>
    <w:rsid w:val="004B2C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rsid w:val="00FE655D"/>
    <w:pPr>
      <w:ind w:left="720"/>
      <w:contextualSpacing/>
    </w:pPr>
  </w:style>
  <w:style w:type="character" w:styleId="Emphasis">
    <w:name w:val="Emphasis"/>
    <w:basedOn w:val="DefaultParagraphFont"/>
    <w:uiPriority w:val="20"/>
    <w:qFormat/>
    <w:rsid w:val="00CF7196"/>
    <w:rPr>
      <w:i/>
      <w:iCs/>
    </w:rPr>
  </w:style>
  <w:style w:type="paragraph" w:customStyle="1" w:styleId="FSTableColumnRowheading">
    <w:name w:val="FSTable Column/Row heading"/>
    <w:basedOn w:val="Normal"/>
    <w:uiPriority w:val="8"/>
    <w:qFormat/>
    <w:locked/>
    <w:rsid w:val="00A9629F"/>
    <w:pPr>
      <w:widowControl/>
      <w:spacing w:before="120" w:after="120"/>
    </w:pPr>
    <w:rPr>
      <w:rFonts w:eastAsiaTheme="minorHAnsi" w:cstheme="minorBidi"/>
      <w:b/>
      <w:sz w:val="20"/>
      <w:szCs w:val="20"/>
      <w:lang w:bidi="ar-SA"/>
    </w:rPr>
  </w:style>
  <w:style w:type="table" w:styleId="MediumGrid3-Accent1">
    <w:name w:val="Medium Grid 3 Accent 1"/>
    <w:basedOn w:val="TableNormal"/>
    <w:uiPriority w:val="69"/>
    <w:rsid w:val="005F69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ndnoteText">
    <w:name w:val="endnote text"/>
    <w:basedOn w:val="Normal"/>
    <w:link w:val="EndnoteTextChar"/>
    <w:rsid w:val="00CF2447"/>
    <w:rPr>
      <w:sz w:val="20"/>
      <w:szCs w:val="20"/>
    </w:rPr>
  </w:style>
  <w:style w:type="character" w:customStyle="1" w:styleId="EndnoteTextChar">
    <w:name w:val="Endnote Text Char"/>
    <w:basedOn w:val="DefaultParagraphFont"/>
    <w:link w:val="EndnoteText"/>
    <w:rsid w:val="00CF2447"/>
    <w:rPr>
      <w:rFonts w:ascii="Arial" w:hAnsi="Arial"/>
      <w:lang w:eastAsia="en-US" w:bidi="en-US"/>
    </w:rPr>
  </w:style>
  <w:style w:type="character" w:styleId="EndnoteReference">
    <w:name w:val="endnote reference"/>
    <w:basedOn w:val="DefaultParagraphFont"/>
    <w:rsid w:val="00CF24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7480945">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78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foodstandards.gov.au/code/applications/Pages/A1133MRLs-for-Avilamycin.aspx" TargetMode="External"/><Relationship Id="rId26" Type="http://schemas.openxmlformats.org/officeDocument/2006/relationships/hyperlink" Target="http://www.foodstandards.gov.au/code/fofr/fofrpolicy/pages/default.aspx" TargetMode="External"/><Relationship Id="rId3" Type="http://schemas.openxmlformats.org/officeDocument/2006/relationships/customXml" Target="../customXml/item3.xml"/><Relationship Id="rId21" Type="http://schemas.openxmlformats.org/officeDocument/2006/relationships/hyperlink" Target="http://whqlibdoc.who.int/trs/WHO_TRS_954_eng.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afety.govt.nz/elibrary/industry/register-list-mrl-agricultural-compounds.ht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ma.europa.eu/ema/pages/includes/document/open_document.jsp?webContentId=WC5000107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science/exposure/Pages/dietaryexposureandin4438.aspx" TargetMode="External"/><Relationship Id="rId28" Type="http://schemas.openxmlformats.org/officeDocument/2006/relationships/footer" Target="footer3.xml"/><Relationship Id="rId15" Type="http://schemas.openxmlformats.org/officeDocument/2006/relationships/footer" Target="footer1.xml"/><Relationship Id="rId23" Type="http://schemas.openxmlformats.org/officeDocument/2006/relationships/hyperlink" Target="http://apps.who.int/food-additives-contaminants-jecfa-database/chemical.aspx?chemID=5871" TargetMode="External"/><Relationship Id="rId10" Type="http://schemas.openxmlformats.org/officeDocument/2006/relationships/settings" Target="settings.xml"/><Relationship Id="rId19" Type="http://schemas.openxmlformats.org/officeDocument/2006/relationships/hyperlink" Target="http://apvma.gov.au/node/14116" TargetMode="Externa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fofr/fofrpolicy/pages/default.aspx" TargetMode="Externa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code/fofr/fofrpolicy/pages/default.aspx" TargetMode="External"/><Relationship Id="rId3" Type="http://schemas.openxmlformats.org/officeDocument/2006/relationships/hyperlink" Target="http://apvma.gov.au/node/14116" TargetMode="External"/><Relationship Id="rId7" Type="http://schemas.openxmlformats.org/officeDocument/2006/relationships/hyperlink" Target="http://www.fda.gov/downloads/animalveterinary/products/approvedanimaldrugproducts/foiadrugsummaries/ucm449239.pdf" TargetMode="External"/><Relationship Id="rId12" Type="http://schemas.openxmlformats.org/officeDocument/2006/relationships/hyperlink" Target="http://www.foodstandards.gov.au/code/fofr/fofrpolicy/pages/default.aspx" TargetMode="External"/><Relationship Id="rId2" Type="http://schemas.openxmlformats.org/officeDocument/2006/relationships/hyperlink" Target="http://apvma.gov.au/node/14116" TargetMode="External"/><Relationship Id="rId1" Type="http://schemas.openxmlformats.org/officeDocument/2006/relationships/hyperlink" Target="http://www.foodstandards.gov.au/code/applications/Pages/A1133MRLs-for-Avilamycin.aspx" TargetMode="External"/><Relationship Id="rId6" Type="http://schemas.openxmlformats.org/officeDocument/2006/relationships/hyperlink" Target="http://whqlibdoc.who.int/trs/WHO_TRS_954_eng.pdf" TargetMode="External"/><Relationship Id="rId11" Type="http://schemas.openxmlformats.org/officeDocument/2006/relationships/hyperlink" Target="http://www.foodsafety.govt.nz/elibrary/industry/register-list-mrl-agricultural-compounds.htm" TargetMode="External"/><Relationship Id="rId5" Type="http://schemas.openxmlformats.org/officeDocument/2006/relationships/hyperlink" Target="http://www.ema.europa.eu/ema/pages/includes/document/open_document.jsp?webContentId=WC500010750" TargetMode="External"/><Relationship Id="rId10" Type="http://schemas.openxmlformats.org/officeDocument/2006/relationships/hyperlink" Target="http://www.foodstandards.gov.au/science/exposure/Pages/dietaryexposureandin4438.aspx" TargetMode="External"/><Relationship Id="rId4" Type="http://schemas.openxmlformats.org/officeDocument/2006/relationships/hyperlink" Target="https://www.legislation.gov.au/Series/F2012L02501" TargetMode="External"/><Relationship Id="rId9" Type="http://schemas.openxmlformats.org/officeDocument/2006/relationships/hyperlink" Target="http://apps.who.int/food-additives-contaminants-jecfa-database/chemical.aspx?chemID=5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23E86-0593-40AF-86DB-737868C14512}"/>
</file>

<file path=customXml/itemProps2.xml><?xml version="1.0" encoding="utf-8"?>
<ds:datastoreItem xmlns:ds="http://schemas.openxmlformats.org/officeDocument/2006/customXml" ds:itemID="{545F1358-1288-4BFF-8C8A-3E01E6D398E7}"/>
</file>

<file path=customXml/itemProps3.xml><?xml version="1.0" encoding="utf-8"?>
<ds:datastoreItem xmlns:ds="http://schemas.openxmlformats.org/officeDocument/2006/customXml" ds:itemID="{E8DE134B-AD00-427C-BFEB-290E83832B3A}"/>
</file>

<file path=customXml/itemProps4.xml><?xml version="1.0" encoding="utf-8"?>
<ds:datastoreItem xmlns:ds="http://schemas.openxmlformats.org/officeDocument/2006/customXml" ds:itemID="{A78DA4C7-F64C-4CCA-928B-DAFB9152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523E86-0593-40AF-86DB-737868C14512}">
  <ds:schemaRefs>
    <ds:schemaRef ds:uri="http://schemas.microsoft.com/sharepoint/v3/contenttype/forms"/>
  </ds:schemaRefs>
</ds:datastoreItem>
</file>

<file path=customXml/itemProps6.xml><?xml version="1.0" encoding="utf-8"?>
<ds:datastoreItem xmlns:ds="http://schemas.openxmlformats.org/officeDocument/2006/customXml" ds:itemID="{77AB6C78-701A-4722-B0E9-D2BB7D0C9E58}"/>
</file>

<file path=docProps/app.xml><?xml version="1.0" encoding="utf-8"?>
<Properties xmlns="http://schemas.openxmlformats.org/officeDocument/2006/extended-properties" xmlns:vt="http://schemas.openxmlformats.org/officeDocument/2006/docPropsVTypes">
  <Template>Normal.dotm</Template>
  <TotalTime>19</TotalTime>
  <Pages>18</Pages>
  <Words>5521</Words>
  <Characters>32989</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MRL Harmonisation Application A1133</vt:lpstr>
    </vt:vector>
  </TitlesOfParts>
  <Company>ANZFA</Company>
  <LinksUpToDate>false</LinksUpToDate>
  <CharactersWithSpaces>38434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MRL Harmonisation Application A1133</dc:title>
  <dc:creator>gladwl</dc:creator>
  <cp:keywords>MRL Application</cp:keywords>
  <cp:lastModifiedBy>humphc</cp:lastModifiedBy>
  <cp:revision>8</cp:revision>
  <cp:lastPrinted>2017-03-17T02:52:00Z</cp:lastPrinted>
  <dcterms:created xsi:type="dcterms:W3CDTF">2017-03-16T01:52:00Z</dcterms:created>
  <dcterms:modified xsi:type="dcterms:W3CDTF">2017-03-17T02:52:00Z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74fb6bb6-4570-4911-8bbc-274b683501e4</vt:lpwstr>
  </property>
  <property fmtid="{D5CDD505-2E9C-101B-9397-08002B2CF9AE}" pid="6" name="SPPCopyMoveEvent">
    <vt:lpwstr>0</vt:lpwstr>
  </property>
</Properties>
</file>